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E24" w:rsidRDefault="00870E24" w:rsidP="00870E24">
      <w:pPr>
        <w:spacing w:after="0" w:line="240" w:lineRule="auto"/>
        <w:jc w:val="right"/>
        <w:rPr>
          <w:rFonts w:ascii="Arial" w:hAnsi="Arial" w:cs="Arial"/>
          <w:b/>
          <w:sz w:val="24"/>
          <w:szCs w:val="24"/>
        </w:rPr>
      </w:pPr>
    </w:p>
    <w:p w:rsidR="0033623C" w:rsidRPr="00870E24" w:rsidRDefault="00870E24" w:rsidP="00870E24">
      <w:pPr>
        <w:spacing w:after="0" w:line="240" w:lineRule="auto"/>
        <w:jc w:val="right"/>
        <w:rPr>
          <w:rFonts w:ascii="Arial" w:hAnsi="Arial" w:cs="Arial"/>
          <w:b/>
          <w:sz w:val="24"/>
          <w:szCs w:val="24"/>
        </w:rPr>
      </w:pPr>
      <w:r w:rsidRPr="00870E24">
        <w:rPr>
          <w:rFonts w:ascii="Arial" w:hAnsi="Arial" w:cs="Arial"/>
          <w:b/>
          <w:sz w:val="24"/>
          <w:szCs w:val="24"/>
        </w:rPr>
        <w:t>BANCO MERCANTIL DEL NORTE S.A.</w:t>
      </w:r>
    </w:p>
    <w:p w:rsidR="00870E24" w:rsidRPr="00870E24" w:rsidRDefault="00870E24" w:rsidP="00870E24">
      <w:pPr>
        <w:spacing w:after="0" w:line="240" w:lineRule="auto"/>
        <w:jc w:val="right"/>
        <w:rPr>
          <w:rFonts w:ascii="Arial" w:hAnsi="Arial" w:cs="Arial"/>
          <w:b/>
          <w:sz w:val="24"/>
          <w:szCs w:val="24"/>
        </w:rPr>
      </w:pPr>
      <w:r w:rsidRPr="00870E24">
        <w:rPr>
          <w:rFonts w:ascii="Arial" w:hAnsi="Arial" w:cs="Arial"/>
          <w:b/>
          <w:sz w:val="24"/>
          <w:szCs w:val="24"/>
        </w:rPr>
        <w:t>INSTITUCIÓN DE BANCA MÚLTIPLE,</w:t>
      </w:r>
    </w:p>
    <w:p w:rsidR="00870E24" w:rsidRPr="00870E24" w:rsidRDefault="00870E24" w:rsidP="00870E24">
      <w:pPr>
        <w:spacing w:after="0" w:line="240" w:lineRule="auto"/>
        <w:jc w:val="right"/>
        <w:rPr>
          <w:rFonts w:ascii="Arial" w:hAnsi="Arial" w:cs="Arial"/>
          <w:b/>
          <w:sz w:val="24"/>
          <w:szCs w:val="24"/>
        </w:rPr>
      </w:pPr>
      <w:r w:rsidRPr="00870E24">
        <w:rPr>
          <w:rFonts w:ascii="Arial" w:hAnsi="Arial" w:cs="Arial"/>
          <w:b/>
          <w:sz w:val="24"/>
          <w:szCs w:val="24"/>
        </w:rPr>
        <w:t>GRUPO FINANCIERO BANORTE</w:t>
      </w:r>
    </w:p>
    <w:p w:rsidR="00870E24" w:rsidRPr="00870E24" w:rsidRDefault="00870E24" w:rsidP="00870E24">
      <w:pPr>
        <w:spacing w:after="0" w:line="240" w:lineRule="auto"/>
        <w:jc w:val="right"/>
        <w:rPr>
          <w:rFonts w:ascii="Arial" w:hAnsi="Arial" w:cs="Arial"/>
          <w:b/>
          <w:sz w:val="24"/>
          <w:szCs w:val="24"/>
        </w:rPr>
      </w:pPr>
      <w:r w:rsidRPr="00870E24">
        <w:rPr>
          <w:rFonts w:ascii="Arial" w:hAnsi="Arial" w:cs="Arial"/>
          <w:b/>
          <w:sz w:val="24"/>
          <w:szCs w:val="24"/>
        </w:rPr>
        <w:t>VS</w:t>
      </w:r>
    </w:p>
    <w:p w:rsidR="00870E24" w:rsidRPr="00870E24" w:rsidRDefault="00870E24" w:rsidP="00870E24">
      <w:pPr>
        <w:spacing w:after="0" w:line="240" w:lineRule="auto"/>
        <w:jc w:val="right"/>
        <w:rPr>
          <w:rFonts w:ascii="Arial" w:hAnsi="Arial" w:cs="Arial"/>
          <w:b/>
          <w:sz w:val="24"/>
          <w:szCs w:val="24"/>
        </w:rPr>
      </w:pPr>
      <w:r w:rsidRPr="00870E24">
        <w:rPr>
          <w:rFonts w:ascii="Arial" w:hAnsi="Arial" w:cs="Arial"/>
          <w:b/>
          <w:sz w:val="24"/>
          <w:szCs w:val="24"/>
        </w:rPr>
        <w:t>MARÍA CONCEPCIÓN GONZÁALEZ GONZÁLEZ.</w:t>
      </w:r>
    </w:p>
    <w:p w:rsidR="00870E24" w:rsidRDefault="00870E24" w:rsidP="00870E24">
      <w:pPr>
        <w:spacing w:after="0" w:line="240" w:lineRule="auto"/>
        <w:jc w:val="right"/>
        <w:rPr>
          <w:rFonts w:ascii="Arial" w:hAnsi="Arial" w:cs="Arial"/>
          <w:b/>
          <w:sz w:val="24"/>
          <w:szCs w:val="24"/>
        </w:rPr>
      </w:pPr>
    </w:p>
    <w:p w:rsidR="00870E24" w:rsidRPr="00870E24" w:rsidRDefault="00870E24" w:rsidP="00870E24">
      <w:pPr>
        <w:spacing w:after="0" w:line="240" w:lineRule="auto"/>
        <w:jc w:val="right"/>
        <w:rPr>
          <w:rFonts w:ascii="Arial" w:hAnsi="Arial" w:cs="Arial"/>
          <w:b/>
          <w:sz w:val="24"/>
          <w:szCs w:val="24"/>
        </w:rPr>
      </w:pPr>
      <w:r w:rsidRPr="00870E24">
        <w:rPr>
          <w:rFonts w:ascii="Arial" w:hAnsi="Arial" w:cs="Arial"/>
          <w:b/>
          <w:sz w:val="24"/>
          <w:szCs w:val="24"/>
        </w:rPr>
        <w:t>ESPECIAL HIPOTECARIO</w:t>
      </w:r>
    </w:p>
    <w:p w:rsidR="00870E24" w:rsidRDefault="00870E24" w:rsidP="00870E24">
      <w:pPr>
        <w:spacing w:after="0" w:line="240" w:lineRule="auto"/>
        <w:jc w:val="right"/>
        <w:rPr>
          <w:rFonts w:ascii="Arial" w:hAnsi="Arial" w:cs="Arial"/>
          <w:b/>
          <w:sz w:val="24"/>
          <w:szCs w:val="24"/>
        </w:rPr>
      </w:pPr>
    </w:p>
    <w:p w:rsidR="00870E24" w:rsidRDefault="00870E24" w:rsidP="00870E24">
      <w:pPr>
        <w:spacing w:after="0" w:line="240" w:lineRule="auto"/>
        <w:jc w:val="right"/>
        <w:rPr>
          <w:rFonts w:ascii="Arial" w:hAnsi="Arial" w:cs="Arial"/>
          <w:b/>
          <w:sz w:val="24"/>
          <w:szCs w:val="24"/>
        </w:rPr>
      </w:pPr>
    </w:p>
    <w:p w:rsidR="00870E24" w:rsidRPr="00870E24" w:rsidRDefault="00870E24" w:rsidP="00870E24">
      <w:pPr>
        <w:spacing w:after="0" w:line="240" w:lineRule="auto"/>
        <w:jc w:val="right"/>
        <w:rPr>
          <w:rFonts w:ascii="Arial" w:hAnsi="Arial" w:cs="Arial"/>
          <w:b/>
          <w:sz w:val="24"/>
          <w:szCs w:val="24"/>
        </w:rPr>
      </w:pPr>
      <w:r w:rsidRPr="00870E24">
        <w:rPr>
          <w:rFonts w:ascii="Arial" w:hAnsi="Arial" w:cs="Arial"/>
          <w:b/>
          <w:sz w:val="24"/>
          <w:szCs w:val="24"/>
        </w:rPr>
        <w:t>EXHORTO: 231/2015</w:t>
      </w:r>
    </w:p>
    <w:p w:rsidR="00870E24" w:rsidRDefault="00870E24" w:rsidP="00870E24">
      <w:pPr>
        <w:spacing w:after="0" w:line="240" w:lineRule="auto"/>
        <w:rPr>
          <w:rFonts w:ascii="Arial" w:hAnsi="Arial" w:cs="Arial"/>
          <w:sz w:val="24"/>
          <w:szCs w:val="24"/>
        </w:rPr>
      </w:pPr>
    </w:p>
    <w:p w:rsidR="00870E24" w:rsidRPr="00870E24" w:rsidRDefault="00870E24" w:rsidP="00870E24">
      <w:pPr>
        <w:spacing w:after="0" w:line="240" w:lineRule="auto"/>
        <w:rPr>
          <w:rFonts w:ascii="Arial" w:hAnsi="Arial" w:cs="Arial"/>
          <w:sz w:val="24"/>
          <w:szCs w:val="24"/>
        </w:rPr>
      </w:pPr>
    </w:p>
    <w:p w:rsidR="00870E24" w:rsidRPr="00870E24" w:rsidRDefault="00870E24" w:rsidP="00870E24">
      <w:pPr>
        <w:spacing w:after="0" w:line="240" w:lineRule="auto"/>
        <w:rPr>
          <w:rFonts w:ascii="Arial" w:hAnsi="Arial" w:cs="Arial"/>
          <w:b/>
          <w:sz w:val="24"/>
          <w:szCs w:val="24"/>
        </w:rPr>
      </w:pPr>
      <w:r w:rsidRPr="00870E24">
        <w:rPr>
          <w:rFonts w:ascii="Arial" w:hAnsi="Arial" w:cs="Arial"/>
          <w:b/>
          <w:sz w:val="24"/>
          <w:szCs w:val="24"/>
        </w:rPr>
        <w:t>C. JUEZ PRIMERO CIVIL Y DE EXTINCIÓN DE DOMINIO, DE</w:t>
      </w:r>
    </w:p>
    <w:p w:rsidR="00870E24" w:rsidRPr="00870E24" w:rsidRDefault="00870E24" w:rsidP="00870E24">
      <w:pPr>
        <w:spacing w:after="0" w:line="240" w:lineRule="auto"/>
        <w:rPr>
          <w:rFonts w:ascii="Arial" w:hAnsi="Arial" w:cs="Arial"/>
          <w:b/>
          <w:sz w:val="24"/>
          <w:szCs w:val="24"/>
        </w:rPr>
      </w:pPr>
      <w:r w:rsidRPr="00870E24">
        <w:rPr>
          <w:rFonts w:ascii="Arial" w:hAnsi="Arial" w:cs="Arial"/>
          <w:b/>
          <w:sz w:val="24"/>
          <w:szCs w:val="24"/>
        </w:rPr>
        <w:t>TOLUCA, ESTADO DE MÉXICO.</w:t>
      </w:r>
    </w:p>
    <w:p w:rsidR="00870E24" w:rsidRDefault="00870E24" w:rsidP="00870E24">
      <w:pPr>
        <w:spacing w:after="0" w:line="240" w:lineRule="auto"/>
        <w:jc w:val="both"/>
        <w:rPr>
          <w:rFonts w:ascii="Arial" w:hAnsi="Arial" w:cs="Arial"/>
          <w:b/>
          <w:sz w:val="24"/>
          <w:szCs w:val="24"/>
        </w:rPr>
      </w:pPr>
    </w:p>
    <w:p w:rsidR="00870E24" w:rsidRPr="00870E24" w:rsidRDefault="00870E24" w:rsidP="00870E24">
      <w:pPr>
        <w:spacing w:after="0" w:line="240" w:lineRule="auto"/>
        <w:jc w:val="both"/>
        <w:rPr>
          <w:rFonts w:ascii="Arial" w:hAnsi="Arial" w:cs="Arial"/>
          <w:b/>
          <w:sz w:val="24"/>
          <w:szCs w:val="24"/>
        </w:rPr>
      </w:pPr>
    </w:p>
    <w:p w:rsidR="00870E24" w:rsidRPr="00870E24" w:rsidRDefault="00870E24" w:rsidP="00870E24">
      <w:pPr>
        <w:spacing w:after="0" w:line="240" w:lineRule="auto"/>
        <w:jc w:val="both"/>
        <w:rPr>
          <w:rFonts w:ascii="Arial" w:hAnsi="Arial" w:cs="Arial"/>
          <w:sz w:val="24"/>
          <w:szCs w:val="24"/>
        </w:rPr>
      </w:pPr>
      <w:r w:rsidRPr="00870E24">
        <w:rPr>
          <w:rFonts w:ascii="Arial" w:hAnsi="Arial" w:cs="Arial"/>
          <w:b/>
          <w:sz w:val="24"/>
          <w:szCs w:val="24"/>
        </w:rPr>
        <w:tab/>
        <w:t>JOSÉ FERNANDO BETANCOURT CERVERA</w:t>
      </w:r>
      <w:r w:rsidRPr="00870E24">
        <w:rPr>
          <w:rFonts w:ascii="Arial" w:hAnsi="Arial" w:cs="Arial"/>
          <w:sz w:val="24"/>
          <w:szCs w:val="24"/>
        </w:rPr>
        <w:t>, en mi carácter de Apoderado Legal de la parte actora, personalidad que tengo debidamente acreditada y reconocida dentro del exhorto al rubro citado, ante Usted con el debido respeto comparezco para exponer:</w:t>
      </w:r>
    </w:p>
    <w:p w:rsidR="00870E24" w:rsidRPr="00870E24" w:rsidRDefault="00870E24" w:rsidP="00870E24">
      <w:pPr>
        <w:spacing w:after="0" w:line="240" w:lineRule="auto"/>
        <w:jc w:val="both"/>
        <w:rPr>
          <w:rFonts w:ascii="Arial" w:hAnsi="Arial" w:cs="Arial"/>
          <w:sz w:val="24"/>
          <w:szCs w:val="24"/>
        </w:rPr>
      </w:pPr>
    </w:p>
    <w:p w:rsidR="00870E24" w:rsidRDefault="00870E24" w:rsidP="00870E24">
      <w:pPr>
        <w:spacing w:after="0" w:line="240" w:lineRule="auto"/>
        <w:jc w:val="both"/>
        <w:rPr>
          <w:rFonts w:ascii="Arial" w:hAnsi="Arial" w:cs="Arial"/>
          <w:sz w:val="24"/>
          <w:szCs w:val="24"/>
        </w:rPr>
      </w:pPr>
    </w:p>
    <w:p w:rsidR="00870E24" w:rsidRPr="00870E24" w:rsidRDefault="00870E24" w:rsidP="00870E24">
      <w:pPr>
        <w:spacing w:after="0" w:line="240" w:lineRule="auto"/>
        <w:jc w:val="both"/>
        <w:rPr>
          <w:rFonts w:ascii="Arial" w:hAnsi="Arial" w:cs="Arial"/>
          <w:sz w:val="24"/>
          <w:szCs w:val="24"/>
        </w:rPr>
      </w:pPr>
      <w:r w:rsidRPr="00870E24">
        <w:rPr>
          <w:rFonts w:ascii="Arial" w:hAnsi="Arial" w:cs="Arial"/>
          <w:sz w:val="24"/>
          <w:szCs w:val="24"/>
        </w:rPr>
        <w:tab/>
        <w:t xml:space="preserve">Por medio del presente escrito y vista la razón de notificación practicada por la C. Notificadora de la adscripción, vengo a solicitar a su Señoría </w:t>
      </w:r>
      <w:r w:rsidRPr="00870E24">
        <w:rPr>
          <w:rFonts w:ascii="Arial" w:hAnsi="Arial" w:cs="Arial"/>
          <w:b/>
          <w:sz w:val="24"/>
          <w:szCs w:val="24"/>
        </w:rPr>
        <w:t>se sirva habilitar días y horas inhábiles</w:t>
      </w:r>
      <w:r w:rsidRPr="00870E24">
        <w:rPr>
          <w:rFonts w:ascii="Arial" w:hAnsi="Arial" w:cs="Arial"/>
          <w:sz w:val="24"/>
          <w:szCs w:val="24"/>
        </w:rPr>
        <w:t>, a efecto de poder llevar a cabo el emplazamiento de la demandada, para lo cual, se deberá de ordenar se elabore de nueva cuenta el instructivo de notificación y que el mismo sea turnado a la C. Notificadora, para los efectos legales a que haya lugar.</w:t>
      </w:r>
    </w:p>
    <w:p w:rsidR="00870E24" w:rsidRDefault="00870E24" w:rsidP="00870E24">
      <w:pPr>
        <w:spacing w:after="0" w:line="240" w:lineRule="auto"/>
        <w:jc w:val="both"/>
        <w:rPr>
          <w:rFonts w:ascii="Arial" w:hAnsi="Arial" w:cs="Arial"/>
          <w:sz w:val="24"/>
          <w:szCs w:val="24"/>
        </w:rPr>
      </w:pPr>
    </w:p>
    <w:p w:rsidR="00870E24" w:rsidRPr="00870E24" w:rsidRDefault="00870E24" w:rsidP="00870E24">
      <w:pPr>
        <w:spacing w:after="0" w:line="240" w:lineRule="auto"/>
        <w:jc w:val="both"/>
        <w:rPr>
          <w:rFonts w:ascii="Arial" w:hAnsi="Arial" w:cs="Arial"/>
          <w:sz w:val="24"/>
          <w:szCs w:val="24"/>
        </w:rPr>
      </w:pPr>
    </w:p>
    <w:p w:rsidR="00870E24" w:rsidRPr="00870E24" w:rsidRDefault="00870E24" w:rsidP="00870E24">
      <w:pPr>
        <w:spacing w:after="0" w:line="240" w:lineRule="auto"/>
        <w:jc w:val="both"/>
        <w:rPr>
          <w:rFonts w:ascii="Arial" w:hAnsi="Arial" w:cs="Arial"/>
          <w:sz w:val="24"/>
          <w:szCs w:val="24"/>
        </w:rPr>
      </w:pPr>
      <w:r w:rsidRPr="00870E24">
        <w:rPr>
          <w:rFonts w:ascii="Arial" w:hAnsi="Arial" w:cs="Arial"/>
          <w:sz w:val="24"/>
          <w:szCs w:val="24"/>
        </w:rPr>
        <w:tab/>
        <w:t>Por lo anteriormente expuesto,</w:t>
      </w:r>
    </w:p>
    <w:p w:rsidR="00870E24" w:rsidRPr="00870E24" w:rsidRDefault="00870E24" w:rsidP="00870E24">
      <w:pPr>
        <w:spacing w:after="0" w:line="240" w:lineRule="auto"/>
        <w:jc w:val="both"/>
        <w:rPr>
          <w:rFonts w:ascii="Arial" w:hAnsi="Arial" w:cs="Arial"/>
          <w:sz w:val="24"/>
          <w:szCs w:val="24"/>
        </w:rPr>
      </w:pPr>
      <w:r w:rsidRPr="00870E24">
        <w:rPr>
          <w:rFonts w:ascii="Arial" w:hAnsi="Arial" w:cs="Arial"/>
          <w:b/>
          <w:sz w:val="24"/>
          <w:szCs w:val="24"/>
        </w:rPr>
        <w:t xml:space="preserve">A USTED C. JUEZ, </w:t>
      </w:r>
      <w:r w:rsidRPr="00870E24">
        <w:rPr>
          <w:rFonts w:ascii="Arial" w:hAnsi="Arial" w:cs="Arial"/>
          <w:sz w:val="24"/>
          <w:szCs w:val="24"/>
        </w:rPr>
        <w:t>atentamente solicito se sirva:</w:t>
      </w:r>
    </w:p>
    <w:p w:rsidR="00870E24" w:rsidRPr="00870E24" w:rsidRDefault="00870E24" w:rsidP="00870E24">
      <w:pPr>
        <w:spacing w:after="0" w:line="240" w:lineRule="auto"/>
        <w:jc w:val="both"/>
        <w:rPr>
          <w:rFonts w:ascii="Arial" w:hAnsi="Arial" w:cs="Arial"/>
          <w:b/>
          <w:sz w:val="24"/>
          <w:szCs w:val="24"/>
        </w:rPr>
      </w:pPr>
    </w:p>
    <w:p w:rsidR="00870E24" w:rsidRPr="00870E24" w:rsidRDefault="00870E24" w:rsidP="00870E24">
      <w:pPr>
        <w:spacing w:after="0" w:line="240" w:lineRule="auto"/>
        <w:jc w:val="both"/>
        <w:rPr>
          <w:rFonts w:ascii="Arial" w:hAnsi="Arial" w:cs="Arial"/>
          <w:sz w:val="24"/>
          <w:szCs w:val="24"/>
        </w:rPr>
      </w:pPr>
      <w:r w:rsidRPr="00870E24">
        <w:rPr>
          <w:rFonts w:ascii="Arial" w:hAnsi="Arial" w:cs="Arial"/>
          <w:b/>
          <w:sz w:val="24"/>
          <w:szCs w:val="24"/>
        </w:rPr>
        <w:tab/>
        <w:t xml:space="preserve">ÚNICO.- </w:t>
      </w:r>
      <w:r w:rsidRPr="00870E24">
        <w:rPr>
          <w:rFonts w:ascii="Arial" w:hAnsi="Arial" w:cs="Arial"/>
          <w:sz w:val="24"/>
          <w:szCs w:val="24"/>
        </w:rPr>
        <w:t>Tenerme por presentado con las manifestaciones vertidas en el cuerpo del presente libelo, acordando de conformidad lo solicitado.</w:t>
      </w:r>
    </w:p>
    <w:p w:rsidR="00870E24" w:rsidRDefault="00870E24" w:rsidP="00870E24">
      <w:pPr>
        <w:spacing w:after="0" w:line="240" w:lineRule="auto"/>
        <w:jc w:val="center"/>
        <w:rPr>
          <w:rFonts w:ascii="Arial" w:hAnsi="Arial" w:cs="Arial"/>
          <w:b/>
          <w:sz w:val="24"/>
          <w:szCs w:val="24"/>
        </w:rPr>
      </w:pPr>
    </w:p>
    <w:p w:rsidR="00870E24" w:rsidRDefault="00870E24" w:rsidP="00870E24">
      <w:pPr>
        <w:spacing w:after="0" w:line="240" w:lineRule="auto"/>
        <w:jc w:val="center"/>
        <w:rPr>
          <w:rFonts w:ascii="Arial" w:hAnsi="Arial" w:cs="Arial"/>
          <w:b/>
          <w:sz w:val="24"/>
          <w:szCs w:val="24"/>
        </w:rPr>
      </w:pPr>
    </w:p>
    <w:p w:rsidR="00870E24" w:rsidRPr="00870E24" w:rsidRDefault="00870E24" w:rsidP="00870E24">
      <w:pPr>
        <w:spacing w:after="0" w:line="240" w:lineRule="auto"/>
        <w:jc w:val="center"/>
        <w:rPr>
          <w:rFonts w:ascii="Arial" w:hAnsi="Arial" w:cs="Arial"/>
          <w:b/>
          <w:sz w:val="24"/>
          <w:szCs w:val="24"/>
        </w:rPr>
      </w:pPr>
    </w:p>
    <w:p w:rsidR="00870E24" w:rsidRPr="00870E24" w:rsidRDefault="00870E24" w:rsidP="00870E24">
      <w:pPr>
        <w:spacing w:after="0" w:line="240" w:lineRule="auto"/>
        <w:jc w:val="center"/>
        <w:rPr>
          <w:rFonts w:ascii="Arial" w:hAnsi="Arial" w:cs="Arial"/>
          <w:b/>
          <w:sz w:val="24"/>
          <w:szCs w:val="24"/>
        </w:rPr>
      </w:pPr>
      <w:r w:rsidRPr="00870E24">
        <w:rPr>
          <w:rFonts w:ascii="Arial" w:hAnsi="Arial" w:cs="Arial"/>
          <w:b/>
          <w:sz w:val="24"/>
          <w:szCs w:val="24"/>
        </w:rPr>
        <w:t>RESPETUOSAMENTE</w:t>
      </w:r>
    </w:p>
    <w:p w:rsidR="00870E24" w:rsidRDefault="00870E24" w:rsidP="00870E24">
      <w:pPr>
        <w:spacing w:after="0" w:line="240" w:lineRule="auto"/>
        <w:jc w:val="center"/>
        <w:rPr>
          <w:rFonts w:ascii="Arial" w:hAnsi="Arial" w:cs="Arial"/>
          <w:b/>
          <w:sz w:val="24"/>
          <w:szCs w:val="24"/>
        </w:rPr>
      </w:pPr>
    </w:p>
    <w:p w:rsidR="00870E24" w:rsidRDefault="00870E24" w:rsidP="00870E24">
      <w:pPr>
        <w:spacing w:after="0" w:line="240" w:lineRule="auto"/>
        <w:jc w:val="center"/>
        <w:rPr>
          <w:rFonts w:ascii="Arial" w:hAnsi="Arial" w:cs="Arial"/>
          <w:b/>
          <w:sz w:val="24"/>
          <w:szCs w:val="24"/>
        </w:rPr>
      </w:pPr>
    </w:p>
    <w:p w:rsidR="00870E24" w:rsidRPr="00870E24" w:rsidRDefault="00870E24" w:rsidP="00870E24">
      <w:pPr>
        <w:spacing w:after="0" w:line="240" w:lineRule="auto"/>
        <w:jc w:val="center"/>
        <w:rPr>
          <w:rFonts w:ascii="Arial" w:hAnsi="Arial" w:cs="Arial"/>
          <w:b/>
          <w:sz w:val="24"/>
          <w:szCs w:val="24"/>
        </w:rPr>
      </w:pPr>
    </w:p>
    <w:p w:rsidR="00870E24" w:rsidRPr="00870E24" w:rsidRDefault="00870E24" w:rsidP="00870E24">
      <w:pPr>
        <w:spacing w:after="0" w:line="240" w:lineRule="auto"/>
        <w:jc w:val="center"/>
        <w:rPr>
          <w:rFonts w:ascii="Arial" w:hAnsi="Arial" w:cs="Arial"/>
          <w:b/>
          <w:sz w:val="24"/>
          <w:szCs w:val="24"/>
        </w:rPr>
      </w:pPr>
    </w:p>
    <w:p w:rsidR="00870E24" w:rsidRPr="00870E24" w:rsidRDefault="00870E24" w:rsidP="00870E24">
      <w:pPr>
        <w:spacing w:after="0" w:line="240" w:lineRule="auto"/>
        <w:jc w:val="center"/>
        <w:rPr>
          <w:rFonts w:ascii="Arial" w:hAnsi="Arial" w:cs="Arial"/>
          <w:b/>
          <w:sz w:val="24"/>
          <w:szCs w:val="24"/>
        </w:rPr>
      </w:pPr>
      <w:r w:rsidRPr="00870E24">
        <w:rPr>
          <w:rFonts w:ascii="Arial" w:hAnsi="Arial" w:cs="Arial"/>
          <w:b/>
          <w:sz w:val="24"/>
          <w:szCs w:val="24"/>
        </w:rPr>
        <w:t>JOSÉ FERNANDO BETANCOURT CERVERA</w:t>
      </w:r>
    </w:p>
    <w:p w:rsidR="00870E24" w:rsidRDefault="00870E24" w:rsidP="00870E24">
      <w:pPr>
        <w:spacing w:after="0" w:line="240" w:lineRule="auto"/>
        <w:jc w:val="center"/>
        <w:rPr>
          <w:rFonts w:ascii="Arial" w:hAnsi="Arial" w:cs="Arial"/>
          <w:b/>
          <w:sz w:val="24"/>
          <w:szCs w:val="24"/>
        </w:rPr>
      </w:pPr>
      <w:r w:rsidRPr="00870E24">
        <w:rPr>
          <w:rFonts w:ascii="Arial" w:hAnsi="Arial" w:cs="Arial"/>
          <w:b/>
          <w:sz w:val="24"/>
          <w:szCs w:val="24"/>
        </w:rPr>
        <w:t xml:space="preserve">Toluca, </w:t>
      </w:r>
      <w:proofErr w:type="spellStart"/>
      <w:r w:rsidRPr="00870E24">
        <w:rPr>
          <w:rFonts w:ascii="Arial" w:hAnsi="Arial" w:cs="Arial"/>
          <w:b/>
          <w:sz w:val="24"/>
          <w:szCs w:val="24"/>
        </w:rPr>
        <w:t>Estdo</w:t>
      </w:r>
      <w:proofErr w:type="spellEnd"/>
      <w:r w:rsidRPr="00870E24">
        <w:rPr>
          <w:rFonts w:ascii="Arial" w:hAnsi="Arial" w:cs="Arial"/>
          <w:b/>
          <w:sz w:val="24"/>
          <w:szCs w:val="24"/>
        </w:rPr>
        <w:t xml:space="preserve"> de México a 10 de Junio de 2015.</w:t>
      </w: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Default="007C0F4F" w:rsidP="00870E24">
      <w:pPr>
        <w:spacing w:after="0" w:line="240" w:lineRule="auto"/>
        <w:jc w:val="center"/>
        <w:rPr>
          <w:rFonts w:ascii="Arial" w:hAnsi="Arial" w:cs="Arial"/>
          <w:b/>
          <w:sz w:val="24"/>
          <w:szCs w:val="24"/>
        </w:rPr>
      </w:pPr>
    </w:p>
    <w:p w:rsidR="007C0F4F" w:rsidRPr="00870E24" w:rsidRDefault="007C0F4F" w:rsidP="007C0F4F">
      <w:pPr>
        <w:spacing w:after="0" w:line="240" w:lineRule="auto"/>
        <w:jc w:val="right"/>
        <w:rPr>
          <w:rFonts w:ascii="Arial" w:hAnsi="Arial" w:cs="Arial"/>
          <w:b/>
          <w:sz w:val="24"/>
          <w:szCs w:val="24"/>
        </w:rPr>
      </w:pPr>
      <w:r w:rsidRPr="00870E24">
        <w:rPr>
          <w:rFonts w:ascii="Arial" w:hAnsi="Arial" w:cs="Arial"/>
          <w:b/>
          <w:sz w:val="24"/>
          <w:szCs w:val="24"/>
        </w:rPr>
        <w:t>BANCO MERCANTIL DEL NORTE S.A.</w:t>
      </w:r>
    </w:p>
    <w:p w:rsidR="007C0F4F" w:rsidRPr="00870E24" w:rsidRDefault="007C0F4F" w:rsidP="007C0F4F">
      <w:pPr>
        <w:spacing w:after="0" w:line="240" w:lineRule="auto"/>
        <w:jc w:val="right"/>
        <w:rPr>
          <w:rFonts w:ascii="Arial" w:hAnsi="Arial" w:cs="Arial"/>
          <w:b/>
          <w:sz w:val="24"/>
          <w:szCs w:val="24"/>
        </w:rPr>
      </w:pPr>
      <w:r w:rsidRPr="00870E24">
        <w:rPr>
          <w:rFonts w:ascii="Arial" w:hAnsi="Arial" w:cs="Arial"/>
          <w:b/>
          <w:sz w:val="24"/>
          <w:szCs w:val="24"/>
        </w:rPr>
        <w:t>INSTITUCIÓN DE BANCA MÚLTIPLE,</w:t>
      </w:r>
    </w:p>
    <w:p w:rsidR="007C0F4F" w:rsidRPr="00870E24" w:rsidRDefault="007C0F4F" w:rsidP="007C0F4F">
      <w:pPr>
        <w:spacing w:after="0" w:line="240" w:lineRule="auto"/>
        <w:jc w:val="right"/>
        <w:rPr>
          <w:rFonts w:ascii="Arial" w:hAnsi="Arial" w:cs="Arial"/>
          <w:b/>
          <w:sz w:val="24"/>
          <w:szCs w:val="24"/>
        </w:rPr>
      </w:pPr>
      <w:r w:rsidRPr="00870E24">
        <w:rPr>
          <w:rFonts w:ascii="Arial" w:hAnsi="Arial" w:cs="Arial"/>
          <w:b/>
          <w:sz w:val="24"/>
          <w:szCs w:val="24"/>
        </w:rPr>
        <w:t>GRUPO FINANCIERO BANORTE</w:t>
      </w:r>
    </w:p>
    <w:p w:rsidR="007C0F4F" w:rsidRPr="00870E24" w:rsidRDefault="007C0F4F" w:rsidP="007C0F4F">
      <w:pPr>
        <w:spacing w:after="0" w:line="240" w:lineRule="auto"/>
        <w:jc w:val="right"/>
        <w:rPr>
          <w:rFonts w:ascii="Arial" w:hAnsi="Arial" w:cs="Arial"/>
          <w:b/>
          <w:sz w:val="24"/>
          <w:szCs w:val="24"/>
        </w:rPr>
      </w:pPr>
      <w:r w:rsidRPr="00870E24">
        <w:rPr>
          <w:rFonts w:ascii="Arial" w:hAnsi="Arial" w:cs="Arial"/>
          <w:b/>
          <w:sz w:val="24"/>
          <w:szCs w:val="24"/>
        </w:rPr>
        <w:t>VS</w:t>
      </w:r>
    </w:p>
    <w:p w:rsidR="007C0F4F" w:rsidRPr="00870E24" w:rsidRDefault="007C0F4F" w:rsidP="007C0F4F">
      <w:pPr>
        <w:spacing w:after="0" w:line="240" w:lineRule="auto"/>
        <w:jc w:val="right"/>
        <w:rPr>
          <w:rFonts w:ascii="Arial" w:hAnsi="Arial" w:cs="Arial"/>
          <w:b/>
          <w:sz w:val="24"/>
          <w:szCs w:val="24"/>
        </w:rPr>
      </w:pPr>
      <w:r w:rsidRPr="00870E24">
        <w:rPr>
          <w:rFonts w:ascii="Arial" w:hAnsi="Arial" w:cs="Arial"/>
          <w:b/>
          <w:sz w:val="24"/>
          <w:szCs w:val="24"/>
        </w:rPr>
        <w:t>MARÍA CONCEPCIÓN GONZÁALEZ GONZÁLEZ.</w:t>
      </w:r>
    </w:p>
    <w:p w:rsidR="007C0F4F" w:rsidRDefault="007C0F4F" w:rsidP="007C0F4F">
      <w:pPr>
        <w:spacing w:after="0" w:line="240" w:lineRule="auto"/>
        <w:jc w:val="right"/>
        <w:rPr>
          <w:rFonts w:ascii="Arial" w:hAnsi="Arial" w:cs="Arial"/>
          <w:b/>
          <w:sz w:val="24"/>
          <w:szCs w:val="24"/>
        </w:rPr>
      </w:pPr>
    </w:p>
    <w:p w:rsidR="007C0F4F" w:rsidRPr="00870E24" w:rsidRDefault="007C0F4F" w:rsidP="007C0F4F">
      <w:pPr>
        <w:spacing w:after="0" w:line="240" w:lineRule="auto"/>
        <w:jc w:val="right"/>
        <w:rPr>
          <w:rFonts w:ascii="Arial" w:hAnsi="Arial" w:cs="Arial"/>
          <w:b/>
          <w:sz w:val="24"/>
          <w:szCs w:val="24"/>
        </w:rPr>
      </w:pPr>
      <w:r w:rsidRPr="00870E24">
        <w:rPr>
          <w:rFonts w:ascii="Arial" w:hAnsi="Arial" w:cs="Arial"/>
          <w:b/>
          <w:sz w:val="24"/>
          <w:szCs w:val="24"/>
        </w:rPr>
        <w:t>ESPECIAL HIPOTECARIO</w:t>
      </w:r>
    </w:p>
    <w:p w:rsidR="007C0F4F" w:rsidRDefault="007C0F4F" w:rsidP="007C0F4F">
      <w:pPr>
        <w:spacing w:after="0" w:line="240" w:lineRule="auto"/>
        <w:jc w:val="right"/>
        <w:rPr>
          <w:rFonts w:ascii="Arial" w:hAnsi="Arial" w:cs="Arial"/>
          <w:b/>
          <w:sz w:val="24"/>
          <w:szCs w:val="24"/>
        </w:rPr>
      </w:pPr>
    </w:p>
    <w:p w:rsidR="007C0F4F" w:rsidRDefault="007C0F4F" w:rsidP="007C0F4F">
      <w:pPr>
        <w:spacing w:after="0" w:line="240" w:lineRule="auto"/>
        <w:jc w:val="right"/>
        <w:rPr>
          <w:rFonts w:ascii="Arial" w:hAnsi="Arial" w:cs="Arial"/>
          <w:b/>
          <w:sz w:val="24"/>
          <w:szCs w:val="24"/>
        </w:rPr>
      </w:pPr>
    </w:p>
    <w:p w:rsidR="007C0F4F" w:rsidRPr="00870E24" w:rsidRDefault="007C0F4F" w:rsidP="007C0F4F">
      <w:pPr>
        <w:spacing w:after="0" w:line="240" w:lineRule="auto"/>
        <w:jc w:val="right"/>
        <w:rPr>
          <w:rFonts w:ascii="Arial" w:hAnsi="Arial" w:cs="Arial"/>
          <w:b/>
          <w:sz w:val="24"/>
          <w:szCs w:val="24"/>
        </w:rPr>
      </w:pPr>
      <w:r>
        <w:rPr>
          <w:rFonts w:ascii="Arial" w:hAnsi="Arial" w:cs="Arial"/>
          <w:b/>
          <w:sz w:val="24"/>
          <w:szCs w:val="24"/>
        </w:rPr>
        <w:t>EXPEDIENTE: 216/2015</w:t>
      </w:r>
    </w:p>
    <w:p w:rsidR="007C0F4F" w:rsidRDefault="007C0F4F" w:rsidP="007C0F4F">
      <w:pPr>
        <w:spacing w:after="0" w:line="240" w:lineRule="auto"/>
        <w:rPr>
          <w:rFonts w:ascii="Arial" w:hAnsi="Arial" w:cs="Arial"/>
          <w:sz w:val="24"/>
          <w:szCs w:val="24"/>
        </w:rPr>
      </w:pPr>
    </w:p>
    <w:p w:rsidR="007C0F4F" w:rsidRPr="00870E24" w:rsidRDefault="007C0F4F" w:rsidP="007C0F4F">
      <w:pPr>
        <w:spacing w:after="0" w:line="240" w:lineRule="auto"/>
        <w:rPr>
          <w:rFonts w:ascii="Arial" w:hAnsi="Arial" w:cs="Arial"/>
          <w:sz w:val="24"/>
          <w:szCs w:val="24"/>
        </w:rPr>
      </w:pPr>
    </w:p>
    <w:p w:rsidR="007C0F4F" w:rsidRDefault="007C0F4F" w:rsidP="007C0F4F">
      <w:pPr>
        <w:spacing w:after="0" w:line="240" w:lineRule="auto"/>
        <w:rPr>
          <w:rFonts w:ascii="Arial" w:hAnsi="Arial" w:cs="Arial"/>
          <w:b/>
          <w:sz w:val="24"/>
          <w:szCs w:val="24"/>
        </w:rPr>
      </w:pPr>
      <w:r w:rsidRPr="00870E24">
        <w:rPr>
          <w:rFonts w:ascii="Arial" w:hAnsi="Arial" w:cs="Arial"/>
          <w:b/>
          <w:sz w:val="24"/>
          <w:szCs w:val="24"/>
        </w:rPr>
        <w:t>C. JUEZ</w:t>
      </w:r>
      <w:r>
        <w:rPr>
          <w:rFonts w:ascii="Arial" w:hAnsi="Arial" w:cs="Arial"/>
          <w:b/>
          <w:sz w:val="24"/>
          <w:szCs w:val="24"/>
        </w:rPr>
        <w:t xml:space="preserve"> SEPTUAGÉSIMO PRIMERO DE </w:t>
      </w:r>
    </w:p>
    <w:p w:rsidR="007C0F4F" w:rsidRPr="00870E24" w:rsidRDefault="007C0F4F" w:rsidP="007C0F4F">
      <w:pPr>
        <w:spacing w:after="0" w:line="240" w:lineRule="auto"/>
        <w:rPr>
          <w:rFonts w:ascii="Arial" w:hAnsi="Arial" w:cs="Arial"/>
          <w:b/>
          <w:sz w:val="24"/>
          <w:szCs w:val="24"/>
        </w:rPr>
      </w:pPr>
      <w:r>
        <w:rPr>
          <w:rFonts w:ascii="Arial" w:hAnsi="Arial" w:cs="Arial"/>
          <w:b/>
          <w:sz w:val="24"/>
          <w:szCs w:val="24"/>
        </w:rPr>
        <w:t>LO CIVIL EN EL DISTRITO FEDERAL.</w:t>
      </w:r>
    </w:p>
    <w:p w:rsidR="007C0F4F" w:rsidRDefault="007C0F4F" w:rsidP="007C0F4F">
      <w:pPr>
        <w:spacing w:after="0" w:line="240" w:lineRule="auto"/>
        <w:jc w:val="both"/>
        <w:rPr>
          <w:rFonts w:ascii="Arial" w:hAnsi="Arial" w:cs="Arial"/>
          <w:b/>
          <w:sz w:val="24"/>
          <w:szCs w:val="24"/>
        </w:rPr>
      </w:pPr>
    </w:p>
    <w:p w:rsidR="007C0F4F" w:rsidRPr="00870E24" w:rsidRDefault="007C0F4F" w:rsidP="007C0F4F">
      <w:pPr>
        <w:spacing w:after="0" w:line="240" w:lineRule="auto"/>
        <w:jc w:val="both"/>
        <w:rPr>
          <w:rFonts w:ascii="Arial" w:hAnsi="Arial" w:cs="Arial"/>
          <w:b/>
          <w:sz w:val="24"/>
          <w:szCs w:val="24"/>
        </w:rPr>
      </w:pPr>
    </w:p>
    <w:p w:rsidR="007C0F4F" w:rsidRDefault="007C0F4F" w:rsidP="007C0F4F">
      <w:pPr>
        <w:spacing w:after="0" w:line="240" w:lineRule="auto"/>
        <w:jc w:val="both"/>
        <w:rPr>
          <w:rFonts w:ascii="Arial" w:hAnsi="Arial" w:cs="Arial"/>
          <w:sz w:val="24"/>
          <w:szCs w:val="24"/>
        </w:rPr>
      </w:pPr>
      <w:r w:rsidRPr="00870E24">
        <w:rPr>
          <w:rFonts w:ascii="Arial" w:hAnsi="Arial" w:cs="Arial"/>
          <w:b/>
          <w:sz w:val="24"/>
          <w:szCs w:val="24"/>
        </w:rPr>
        <w:tab/>
        <w:t>JOSÉ FERNANDO BETANCOURT CERVERA</w:t>
      </w:r>
      <w:r w:rsidRPr="00870E24">
        <w:rPr>
          <w:rFonts w:ascii="Arial" w:hAnsi="Arial" w:cs="Arial"/>
          <w:sz w:val="24"/>
          <w:szCs w:val="24"/>
        </w:rPr>
        <w:t>, en mi carácter de Apoderado Legal de la parte actora, personalidad que tengo debidamente acreditada</w:t>
      </w:r>
      <w:r>
        <w:rPr>
          <w:rFonts w:ascii="Arial" w:hAnsi="Arial" w:cs="Arial"/>
          <w:sz w:val="24"/>
          <w:szCs w:val="24"/>
        </w:rPr>
        <w:t xml:space="preserve"> y reconocida dentro del juicio</w:t>
      </w:r>
      <w:r w:rsidRPr="00870E24">
        <w:rPr>
          <w:rFonts w:ascii="Arial" w:hAnsi="Arial" w:cs="Arial"/>
          <w:sz w:val="24"/>
          <w:szCs w:val="24"/>
        </w:rPr>
        <w:t xml:space="preserve"> al rubro citado, ante Usted con el debido respeto comparezco para exponer:</w:t>
      </w:r>
    </w:p>
    <w:p w:rsidR="007C0F4F" w:rsidRDefault="007C0F4F" w:rsidP="007C0F4F">
      <w:pPr>
        <w:spacing w:after="0" w:line="240" w:lineRule="auto"/>
        <w:jc w:val="both"/>
        <w:rPr>
          <w:rFonts w:ascii="Arial" w:hAnsi="Arial" w:cs="Arial"/>
          <w:sz w:val="24"/>
          <w:szCs w:val="24"/>
        </w:rPr>
      </w:pPr>
    </w:p>
    <w:p w:rsidR="007C0F4F" w:rsidRDefault="007C0F4F" w:rsidP="007C0F4F">
      <w:pPr>
        <w:spacing w:after="0" w:line="240" w:lineRule="auto"/>
        <w:jc w:val="both"/>
        <w:rPr>
          <w:rFonts w:ascii="Arial" w:hAnsi="Arial" w:cs="Arial"/>
          <w:sz w:val="24"/>
          <w:szCs w:val="24"/>
        </w:rPr>
      </w:pPr>
    </w:p>
    <w:p w:rsidR="007C0F4F" w:rsidRDefault="007C0F4F" w:rsidP="007C0F4F">
      <w:pPr>
        <w:spacing w:after="0" w:line="240" w:lineRule="auto"/>
        <w:jc w:val="both"/>
        <w:rPr>
          <w:rFonts w:ascii="Arial" w:hAnsi="Arial" w:cs="Arial"/>
          <w:sz w:val="24"/>
          <w:szCs w:val="24"/>
        </w:rPr>
      </w:pPr>
      <w:r>
        <w:rPr>
          <w:rFonts w:ascii="Arial" w:hAnsi="Arial" w:cs="Arial"/>
          <w:sz w:val="24"/>
          <w:szCs w:val="24"/>
        </w:rPr>
        <w:tab/>
        <w:t>Por medio del presente escrito, estando en tiempo y forma hábil, vengo a desahogar la vista ordenada por su Señoría mediante proveído de fecha 6 de Julio de 2015, referente a las manifestaciones realizadas por el Instituto del Fondo Nacional de la Vivienda para los Trabajadores (INFONAVIT) mediante escrito de fecha 2 de Julio de 2015, vista que desahogo en los siguientes términos:</w:t>
      </w:r>
    </w:p>
    <w:p w:rsidR="007C0F4F" w:rsidRDefault="007C0F4F" w:rsidP="007C0F4F">
      <w:pPr>
        <w:spacing w:after="0" w:line="240" w:lineRule="auto"/>
        <w:jc w:val="both"/>
        <w:rPr>
          <w:rFonts w:ascii="Arial" w:hAnsi="Arial" w:cs="Arial"/>
          <w:sz w:val="24"/>
          <w:szCs w:val="24"/>
        </w:rPr>
      </w:pPr>
    </w:p>
    <w:p w:rsidR="007C0F4F" w:rsidRDefault="007C0F4F" w:rsidP="007C0F4F">
      <w:pPr>
        <w:spacing w:after="0" w:line="240" w:lineRule="auto"/>
        <w:jc w:val="both"/>
        <w:rPr>
          <w:rFonts w:ascii="Arial" w:hAnsi="Arial" w:cs="Arial"/>
          <w:sz w:val="24"/>
          <w:szCs w:val="24"/>
        </w:rPr>
      </w:pPr>
      <w:r>
        <w:rPr>
          <w:rFonts w:ascii="Arial" w:hAnsi="Arial" w:cs="Arial"/>
          <w:sz w:val="24"/>
          <w:szCs w:val="24"/>
        </w:rPr>
        <w:tab/>
        <w:t>Cabe precisar a su Señoría, que tal y como se desprende del contrato base de la presente acción, la hoy demandada constituyó hipoteca en PRIMER LUGAR Y GRADO a favor de MI REPRESENTADA y del INFONAVIT, motivo por el cual tanto dicho Instituto como mi representada, tienen el mismo carácter de acreedores y la misma prelación en su garantía hipotecaria, y no solo el Instituto como de forma dolosa pretende hacerle creer a Usía.</w:t>
      </w:r>
    </w:p>
    <w:p w:rsidR="007C0F4F" w:rsidRDefault="007C0F4F" w:rsidP="007C0F4F">
      <w:pPr>
        <w:spacing w:after="0" w:line="240" w:lineRule="auto"/>
        <w:jc w:val="both"/>
        <w:rPr>
          <w:rFonts w:ascii="Arial" w:hAnsi="Arial" w:cs="Arial"/>
          <w:sz w:val="24"/>
          <w:szCs w:val="24"/>
        </w:rPr>
      </w:pPr>
    </w:p>
    <w:p w:rsidR="007C0F4F" w:rsidRDefault="007C0F4F" w:rsidP="007C0F4F">
      <w:pPr>
        <w:spacing w:after="0" w:line="240" w:lineRule="auto"/>
        <w:jc w:val="both"/>
        <w:rPr>
          <w:rFonts w:ascii="Arial" w:hAnsi="Arial" w:cs="Arial"/>
          <w:sz w:val="24"/>
          <w:szCs w:val="24"/>
        </w:rPr>
      </w:pPr>
      <w:r>
        <w:rPr>
          <w:rFonts w:ascii="Arial" w:hAnsi="Arial" w:cs="Arial"/>
          <w:sz w:val="24"/>
          <w:szCs w:val="24"/>
        </w:rPr>
        <w:tab/>
        <w:t xml:space="preserve">En ese sentido, cabe manifestar a su Señoría, que el hecho de que el INFONAVIT sea acreedor hipotecario, </w:t>
      </w:r>
      <w:r w:rsidRPr="007C0F4F">
        <w:rPr>
          <w:rFonts w:ascii="Arial" w:hAnsi="Arial" w:cs="Arial"/>
          <w:b/>
          <w:sz w:val="24"/>
          <w:szCs w:val="24"/>
        </w:rPr>
        <w:t>esto de ninguna significa que exista impedimento legal alguno para que el inmueble objeto de hipoteca, pase libre de todo gravamen y por ende se cancelen las hipotecas y demás gravámenes que pudiese tener el mismo</w:t>
      </w:r>
      <w:r>
        <w:rPr>
          <w:rFonts w:ascii="Arial" w:hAnsi="Arial" w:cs="Arial"/>
          <w:sz w:val="24"/>
          <w:szCs w:val="24"/>
        </w:rPr>
        <w:t>, para el caso de que dicho inmueble se adjudicara en el presente juicio a favor de un tercero o a favor de mi representada derivado del remate que en su momento tendrá lugar.</w:t>
      </w:r>
    </w:p>
    <w:p w:rsidR="007C0F4F" w:rsidRDefault="007C0F4F" w:rsidP="007C0F4F">
      <w:pPr>
        <w:spacing w:after="0" w:line="240" w:lineRule="auto"/>
        <w:jc w:val="both"/>
        <w:rPr>
          <w:rFonts w:ascii="Arial" w:hAnsi="Arial" w:cs="Arial"/>
          <w:sz w:val="24"/>
          <w:szCs w:val="24"/>
        </w:rPr>
      </w:pPr>
    </w:p>
    <w:p w:rsidR="007C0F4F" w:rsidRDefault="007C0F4F" w:rsidP="007C0F4F">
      <w:pPr>
        <w:spacing w:after="0" w:line="240" w:lineRule="auto"/>
        <w:jc w:val="both"/>
        <w:rPr>
          <w:rFonts w:ascii="Arial" w:hAnsi="Arial" w:cs="Arial"/>
          <w:sz w:val="24"/>
          <w:szCs w:val="24"/>
        </w:rPr>
      </w:pPr>
      <w:r>
        <w:rPr>
          <w:rFonts w:ascii="Arial" w:hAnsi="Arial" w:cs="Arial"/>
          <w:sz w:val="24"/>
          <w:szCs w:val="24"/>
        </w:rPr>
        <w:tab/>
        <w:t xml:space="preserve">Lo anterior es así, ya que si bien es cierto que el artículo 2894 del Código Civil para el Distrito Federal refiere, que los bienes  hipotecados quedan sujetos al gravamen impuesto a pesar de que pasen a poder de terceros, también lo es que de la interpretación armónica de dicho precepto legal se desprende, que la intención del legislador en dicho artículo, es referirse al caso de que un inmueble hipotecado se venda entre particulares, sin embargo, en caso de que se saque el inmueble hipotecado a remate y en consecuencia se adjudique a favor de un tercero o de mi representada, </w:t>
      </w:r>
      <w:r w:rsidR="00C96EA0">
        <w:rPr>
          <w:rFonts w:ascii="Arial" w:hAnsi="Arial" w:cs="Arial"/>
          <w:sz w:val="24"/>
          <w:szCs w:val="24"/>
        </w:rPr>
        <w:t>esta transmisión de propiedad NO SE TRATA DE una compra venta entre particulares, sino de UNA VENTA JUDICIAL, la cual es totalmente distinta y por ende, el artículo 2894 del ordenamiento legal antes invocado, no es aplicable para una VENTA JUDICIAL como resulta ser un remate, ya que</w:t>
      </w:r>
      <w:r w:rsidR="00A21122">
        <w:rPr>
          <w:rFonts w:ascii="Arial" w:hAnsi="Arial" w:cs="Arial"/>
          <w:sz w:val="24"/>
          <w:szCs w:val="24"/>
        </w:rPr>
        <w:t xml:space="preserve"> existe disposición expresa en el</w:t>
      </w:r>
      <w:r w:rsidR="00C96EA0">
        <w:rPr>
          <w:rFonts w:ascii="Arial" w:hAnsi="Arial" w:cs="Arial"/>
          <w:sz w:val="24"/>
          <w:szCs w:val="24"/>
        </w:rPr>
        <w:t xml:space="preserve"> artículo 2325 del Código Civil para el Distrito Federal,</w:t>
      </w:r>
      <w:r w:rsidR="00A21122">
        <w:rPr>
          <w:rFonts w:ascii="Arial" w:hAnsi="Arial" w:cs="Arial"/>
          <w:sz w:val="24"/>
          <w:szCs w:val="24"/>
        </w:rPr>
        <w:t xml:space="preserve"> referente a que</w:t>
      </w:r>
      <w:r w:rsidR="00C96EA0">
        <w:rPr>
          <w:rFonts w:ascii="Arial" w:hAnsi="Arial" w:cs="Arial"/>
          <w:sz w:val="24"/>
          <w:szCs w:val="24"/>
        </w:rPr>
        <w:t xml:space="preserve"> LAS VENTAS JUDICIALES CUANDO SE TRATE DE INMUEBLES </w:t>
      </w:r>
      <w:r w:rsidR="00A21122">
        <w:rPr>
          <w:rFonts w:ascii="Arial" w:hAnsi="Arial" w:cs="Arial"/>
          <w:sz w:val="24"/>
          <w:szCs w:val="24"/>
        </w:rPr>
        <w:t>PASARÁN LIBRES DE TODO GRAVAMEN, ASÍ COMO EL ARTÍCULO 2941 FRACCIÓN V DEL MISMO CÓDIGO, EXPRESAMENTE REFIERE QUE LAS HIPOTECAS SE CANCELAN CUANDO SE REMATE JUDICIALMENTE LA FINCA HIPOTECADA.</w:t>
      </w:r>
    </w:p>
    <w:p w:rsidR="00C96EA0" w:rsidRDefault="00C96EA0" w:rsidP="007C0F4F">
      <w:pPr>
        <w:spacing w:after="0" w:line="240" w:lineRule="auto"/>
        <w:jc w:val="both"/>
        <w:rPr>
          <w:rFonts w:ascii="Arial" w:hAnsi="Arial" w:cs="Arial"/>
          <w:sz w:val="24"/>
          <w:szCs w:val="24"/>
        </w:rPr>
      </w:pPr>
    </w:p>
    <w:p w:rsidR="00C96EA0" w:rsidRDefault="00C96EA0" w:rsidP="007C0F4F">
      <w:pPr>
        <w:spacing w:after="0" w:line="240" w:lineRule="auto"/>
        <w:jc w:val="both"/>
        <w:rPr>
          <w:rFonts w:ascii="Arial" w:hAnsi="Arial" w:cs="Arial"/>
          <w:sz w:val="24"/>
          <w:szCs w:val="24"/>
        </w:rPr>
      </w:pPr>
      <w:r>
        <w:rPr>
          <w:rFonts w:ascii="Arial" w:hAnsi="Arial" w:cs="Arial"/>
          <w:sz w:val="24"/>
          <w:szCs w:val="24"/>
        </w:rPr>
        <w:lastRenderedPageBreak/>
        <w:tab/>
        <w:t xml:space="preserve">Ahora bien, si bien es cierto que el artículo 2325 del Código Civil para el Distrito Federal refiere una excepción para que los inmuebles que sean vendidos no pasen libre de gravamen y dicha excepción consiste en el hecho de que EXISTA ESTIPULACIÓN EXPRESA EN CONTRARIO, esto es, que exista en el contrato en el cual se constituyó la hipoteca, una estipulación expresa de que en caso de venta judicial, </w:t>
      </w:r>
      <w:r w:rsidR="00A21122">
        <w:rPr>
          <w:rFonts w:ascii="Arial" w:hAnsi="Arial" w:cs="Arial"/>
          <w:sz w:val="24"/>
          <w:szCs w:val="24"/>
        </w:rPr>
        <w:t>no se podrá cancelar o liberar de la hipoteca constituida y por ende, pasará el mismo al nuevo propietario</w:t>
      </w:r>
      <w:r>
        <w:rPr>
          <w:rFonts w:ascii="Arial" w:hAnsi="Arial" w:cs="Arial"/>
          <w:sz w:val="24"/>
          <w:szCs w:val="24"/>
        </w:rPr>
        <w:t xml:space="preserve"> con todo y la hipoteca constituida; también lo es que en el caso concreto, </w:t>
      </w:r>
      <w:r w:rsidRPr="00A21122">
        <w:rPr>
          <w:rFonts w:ascii="Arial" w:hAnsi="Arial" w:cs="Arial"/>
          <w:sz w:val="24"/>
          <w:szCs w:val="24"/>
          <w:u w:val="single"/>
        </w:rPr>
        <w:t>en el contrato de apertura de crédito y constitución de garantía hipotecaria celebrado entre el INFONAVIT y la hoy demandada, mismo que consta en la escritura púbica que constituye el documento base de la presente acción</w:t>
      </w:r>
      <w:r>
        <w:rPr>
          <w:rFonts w:ascii="Arial" w:hAnsi="Arial" w:cs="Arial"/>
          <w:sz w:val="24"/>
          <w:szCs w:val="24"/>
        </w:rPr>
        <w:t>,</w:t>
      </w:r>
      <w:r w:rsidRPr="00A21122">
        <w:rPr>
          <w:rFonts w:ascii="Arial" w:hAnsi="Arial" w:cs="Arial"/>
          <w:b/>
          <w:sz w:val="24"/>
          <w:szCs w:val="24"/>
          <w:u w:val="single"/>
        </w:rPr>
        <w:t xml:space="preserve"> NO EXISTE ESTIPULACIÓN EXPRESA QUE SEA CONTRARIA A LO DISPUESTO POR EL ARTÍCULO 2325 DEL CÓDIGO ANTES REFERIDO, EN EL SENTIDO DE QUE PARA EL CASO DE VENTA JUDICIAL DEL INMUEBLE HIPOTECADO, EL MISMO PASARÁ AL NUEVO PROPIETARIO CON LA HIPOTECA, motivo por el cual y al no exist</w:t>
      </w:r>
      <w:r w:rsidR="00A21122" w:rsidRPr="00A21122">
        <w:rPr>
          <w:rFonts w:ascii="Arial" w:hAnsi="Arial" w:cs="Arial"/>
          <w:b/>
          <w:sz w:val="24"/>
          <w:szCs w:val="24"/>
          <w:u w:val="single"/>
        </w:rPr>
        <w:t>i</w:t>
      </w:r>
      <w:r w:rsidRPr="00A21122">
        <w:rPr>
          <w:rFonts w:ascii="Arial" w:hAnsi="Arial" w:cs="Arial"/>
          <w:b/>
          <w:sz w:val="24"/>
          <w:szCs w:val="24"/>
          <w:u w:val="single"/>
        </w:rPr>
        <w:t>r dicha disposición expresa</w:t>
      </w:r>
      <w:r w:rsidR="00A21122" w:rsidRPr="00A21122">
        <w:rPr>
          <w:rFonts w:ascii="Arial" w:hAnsi="Arial" w:cs="Arial"/>
          <w:b/>
          <w:sz w:val="24"/>
          <w:szCs w:val="24"/>
          <w:u w:val="single"/>
        </w:rPr>
        <w:t xml:space="preserve"> en dicho sentido</w:t>
      </w:r>
      <w:r>
        <w:rPr>
          <w:rFonts w:ascii="Arial" w:hAnsi="Arial" w:cs="Arial"/>
          <w:sz w:val="24"/>
          <w:szCs w:val="24"/>
        </w:rPr>
        <w:t xml:space="preserve">, EL MISMO DEBERÁ </w:t>
      </w:r>
      <w:r w:rsidR="00A21122">
        <w:rPr>
          <w:rFonts w:ascii="Arial" w:hAnsi="Arial" w:cs="Arial"/>
          <w:sz w:val="24"/>
          <w:szCs w:val="24"/>
        </w:rPr>
        <w:t xml:space="preserve">DE PASAR LIBRE DE TODO GRAVAMEN, ya que </w:t>
      </w:r>
      <w:r w:rsidR="00A21122" w:rsidRPr="00A21122">
        <w:rPr>
          <w:rFonts w:ascii="Arial" w:hAnsi="Arial" w:cs="Arial"/>
          <w:b/>
          <w:sz w:val="24"/>
          <w:szCs w:val="24"/>
          <w:u w:val="single"/>
        </w:rPr>
        <w:t>al no existir estipulación que IMPIDA LIBERAR EL GRAVAMEN ANTE UNA VENTA JUDICIAL, DEBE DE PREVALECER LA REGLA GENERAL QUE PRECISAMENTE ES QUE EL INMUEBLE EN UNA VENTA JUDICIAL PASA LIBRE DE TODO GRAVAMEN</w:t>
      </w:r>
      <w:r w:rsidR="00A21122">
        <w:rPr>
          <w:rFonts w:ascii="Arial" w:hAnsi="Arial" w:cs="Arial"/>
          <w:sz w:val="24"/>
          <w:szCs w:val="24"/>
        </w:rPr>
        <w:t>.</w:t>
      </w:r>
    </w:p>
    <w:p w:rsidR="00C96EA0" w:rsidRDefault="00C96EA0" w:rsidP="007C0F4F">
      <w:pPr>
        <w:spacing w:after="0" w:line="240" w:lineRule="auto"/>
        <w:jc w:val="both"/>
        <w:rPr>
          <w:rFonts w:ascii="Arial" w:hAnsi="Arial" w:cs="Arial"/>
          <w:sz w:val="24"/>
          <w:szCs w:val="24"/>
        </w:rPr>
      </w:pPr>
    </w:p>
    <w:p w:rsidR="00C96EA0" w:rsidRDefault="00C96EA0" w:rsidP="007C0F4F">
      <w:pPr>
        <w:spacing w:after="0" w:line="240" w:lineRule="auto"/>
        <w:jc w:val="both"/>
        <w:rPr>
          <w:rFonts w:ascii="Arial" w:hAnsi="Arial" w:cs="Arial"/>
          <w:sz w:val="24"/>
          <w:szCs w:val="24"/>
        </w:rPr>
      </w:pPr>
    </w:p>
    <w:p w:rsidR="00C96EA0" w:rsidRDefault="00C96EA0" w:rsidP="007C0F4F">
      <w:pPr>
        <w:spacing w:after="0" w:line="240" w:lineRule="auto"/>
        <w:jc w:val="both"/>
        <w:rPr>
          <w:rFonts w:ascii="Arial" w:hAnsi="Arial" w:cs="Arial"/>
          <w:sz w:val="24"/>
          <w:szCs w:val="24"/>
        </w:rPr>
      </w:pPr>
      <w:r>
        <w:rPr>
          <w:rFonts w:ascii="Arial" w:hAnsi="Arial" w:cs="Arial"/>
          <w:sz w:val="24"/>
          <w:szCs w:val="24"/>
        </w:rPr>
        <w:tab/>
        <w:t>Aunado a lo anterior, cabe recalcar a su Señoría, que NO por el hecho de que el inmueble hipotecado llegue a rematarse y adjudicarse a favor de un tercero o de mi representada y pase libre de gravamen, esto de ninguna manera</w:t>
      </w:r>
      <w:r w:rsidR="00A21122">
        <w:rPr>
          <w:rFonts w:ascii="Arial" w:hAnsi="Arial" w:cs="Arial"/>
          <w:sz w:val="24"/>
          <w:szCs w:val="24"/>
        </w:rPr>
        <w:t xml:space="preserve"> hace nugatorio los derechos del acreedor hipotecario (INFONAVIT), ya que éste puede hacerlos valer en la vía y forma que corresponda, ya que la cancelación de la hipoteca ante el Registro Público de la Propiedad y del Comercio, de ninguna manera afecta los derechos de cobro que el INFONAVIT tiene derivados de su contrato de crédito que celebró con la hoy demandada.</w:t>
      </w:r>
    </w:p>
    <w:p w:rsidR="00A21122" w:rsidRDefault="00A21122" w:rsidP="007C0F4F">
      <w:pPr>
        <w:spacing w:after="0" w:line="240" w:lineRule="auto"/>
        <w:jc w:val="both"/>
        <w:rPr>
          <w:rFonts w:ascii="Arial" w:hAnsi="Arial" w:cs="Arial"/>
          <w:sz w:val="24"/>
          <w:szCs w:val="24"/>
        </w:rPr>
      </w:pPr>
    </w:p>
    <w:p w:rsidR="00A21122" w:rsidRDefault="00A21122" w:rsidP="007C0F4F">
      <w:pPr>
        <w:spacing w:after="0" w:line="240" w:lineRule="auto"/>
        <w:jc w:val="both"/>
        <w:rPr>
          <w:rFonts w:ascii="Arial" w:hAnsi="Arial" w:cs="Arial"/>
          <w:sz w:val="24"/>
          <w:szCs w:val="24"/>
        </w:rPr>
      </w:pPr>
    </w:p>
    <w:p w:rsidR="00A21122" w:rsidRDefault="00A21122" w:rsidP="007C0F4F">
      <w:pPr>
        <w:spacing w:after="0" w:line="240" w:lineRule="auto"/>
        <w:jc w:val="both"/>
        <w:rPr>
          <w:rFonts w:ascii="Arial" w:hAnsi="Arial" w:cs="Arial"/>
          <w:sz w:val="24"/>
          <w:szCs w:val="24"/>
        </w:rPr>
      </w:pPr>
      <w:r>
        <w:rPr>
          <w:rFonts w:ascii="Arial" w:hAnsi="Arial" w:cs="Arial"/>
          <w:sz w:val="24"/>
          <w:szCs w:val="24"/>
        </w:rPr>
        <w:tab/>
        <w:t>De lo anterior tenemos, que lo manifestado y solicitado por el INFONAVIT referente a que en caso de remate judicial y adjudicación judicial, deberá de declararse que persiste la hipoteca constituida a favor de dicho Instituto, es TOTALMENTE ERRÓNEO Y CONTRARIO A DERECHO</w:t>
      </w:r>
      <w:r w:rsidR="005C7635">
        <w:rPr>
          <w:rFonts w:ascii="Arial" w:hAnsi="Arial" w:cs="Arial"/>
          <w:sz w:val="24"/>
          <w:szCs w:val="24"/>
        </w:rPr>
        <w:t>.</w:t>
      </w:r>
    </w:p>
    <w:p w:rsidR="005C7635" w:rsidRDefault="005C7635" w:rsidP="007C0F4F">
      <w:pPr>
        <w:spacing w:after="0" w:line="240" w:lineRule="auto"/>
        <w:jc w:val="both"/>
        <w:rPr>
          <w:rFonts w:ascii="Arial" w:hAnsi="Arial" w:cs="Arial"/>
          <w:sz w:val="24"/>
          <w:szCs w:val="24"/>
        </w:rPr>
      </w:pPr>
    </w:p>
    <w:p w:rsidR="005C7635" w:rsidRDefault="005C7635" w:rsidP="007C0F4F">
      <w:pPr>
        <w:spacing w:after="0" w:line="240" w:lineRule="auto"/>
        <w:jc w:val="both"/>
        <w:rPr>
          <w:rFonts w:ascii="Arial" w:hAnsi="Arial" w:cs="Arial"/>
          <w:sz w:val="24"/>
          <w:szCs w:val="24"/>
        </w:rPr>
      </w:pPr>
      <w:r>
        <w:rPr>
          <w:rFonts w:ascii="Arial" w:hAnsi="Arial" w:cs="Arial"/>
          <w:sz w:val="24"/>
          <w:szCs w:val="24"/>
        </w:rPr>
        <w:tab/>
        <w:t>A efecto de robustecer lo anteriormente expuesto, me permito citar la siguiente JURISPRUDENCIA que a la letra dice:</w:t>
      </w:r>
    </w:p>
    <w:p w:rsidR="005C7635" w:rsidRDefault="005C7635" w:rsidP="007C0F4F">
      <w:pPr>
        <w:spacing w:after="0" w:line="240" w:lineRule="auto"/>
        <w:jc w:val="both"/>
        <w:rPr>
          <w:rFonts w:ascii="Arial" w:hAnsi="Arial" w:cs="Arial"/>
          <w:sz w:val="24"/>
          <w:szCs w:val="24"/>
        </w:rPr>
      </w:pPr>
    </w:p>
    <w:p w:rsidR="005C7635" w:rsidRDefault="005C7635" w:rsidP="007C0F4F">
      <w:pPr>
        <w:spacing w:after="0" w:line="240" w:lineRule="auto"/>
        <w:jc w:val="both"/>
        <w:rPr>
          <w:rFonts w:ascii="Arial" w:hAnsi="Arial" w:cs="Arial"/>
          <w:sz w:val="24"/>
          <w:szCs w:val="24"/>
        </w:rPr>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Época: Novena Época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Registro: 169293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Instancia: Tribunales Colegiados de Circuito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Tipo de Tesis: Jurisprudencia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Fuente: Semanario Judicial de la Federación y su Gaceta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Tomo XXVIII, Julio de 2008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Materia(s): Civil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Tesis: XIV.C.A. J/19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Página: 1585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HIPOTECA, REMATE DE BIENES INMUEBLES GRAVADOS CON. LA TRANSMISIÓN DE DICHOS BIENES EN VENTA JUDICIAL DEBE HACERSE LIBRE DE TODO GRAVAMEN.</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De la interpretación sistemática de los artículos 2941, fracción V y 2325, ambos del Código Civil Federal, se colige que </w:t>
      </w:r>
      <w:r w:rsidRPr="0017586F">
        <w:rPr>
          <w:b/>
          <w:u w:val="single"/>
        </w:rPr>
        <w:t>en el caso del remate de una finca hipotecada, el dominio se transfiere al comprador libre de todo gravamen, incluida la hipoteca, sin que sea óbice para ello la expresión "a menos de estipulación expresa en contrario"</w:t>
      </w:r>
      <w:r>
        <w:t xml:space="preserve"> </w:t>
      </w:r>
      <w:r w:rsidRPr="005C7635">
        <w:rPr>
          <w:b/>
          <w:u w:val="single"/>
        </w:rPr>
        <w:t>pues, para que resulte aplicable tal excepción, es requisito indispensable que se plasme dicha salvedad en el documento de hipoteca respectivo</w:t>
      </w:r>
      <w:r>
        <w:t xml:space="preserve">, razón por la cual, no basta que en autos obre un certificado de gravámenes en donde se haga constar, que el inmueble objeto del remate se encuentra sujeto al gravamen hipotecario, pues ello no libera, ni suprime la obligación de que conste expresamente la salvedad a que refiere la ley; además, en términos de la fracción V del citado artículo 2941, </w:t>
      </w:r>
      <w:r w:rsidRPr="0017586F">
        <w:rPr>
          <w:u w:val="single"/>
        </w:rPr>
        <w:t xml:space="preserve">la hipoteca se extingue en el caso de </w:t>
      </w:r>
      <w:r w:rsidRPr="0017586F">
        <w:rPr>
          <w:u w:val="single"/>
        </w:rPr>
        <w:lastRenderedPageBreak/>
        <w:t>remate judicial, disposición que no hace nugatorios los derechos del acreedor hipotecario, dado que podrá hacerlos valer en la vía legal que corresponda.</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TRIBUNAL COLEGIADO EN MATERIAS CIVIL Y ADMINISTRATIVA DEL DÉCIMO CUARTO CIRCUITO.</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Amparo en revisión 240/2006. Instituto del Fondo Nacional de la Vivienda para los Trabajadores. 30 de agosto de 2006. Unanimidad de votos. Ponente: Elvira Concepción Pasos Magaña. Secretaria: María Elena Valencia Solís.</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Amparo en revisión 239/2006. Instituto del Fondo Nacional de la Vivienda para los Trabajadores. 6 de septiembre de 2006. Unanimidad de votos. Ponente: Gabriel Alfonso Ayala Quiñones. Secretario: Germán Alberto Escalante Aguilar.</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Amparo en revisión 406/2006. Instituto del Fondo Nacional de la Vivienda para los Trabajadores. 13 de diciembre de 2006. Unanimidad de votos. Ponente: Luis Armando Cortés Escalante. Secretaria: </w:t>
      </w:r>
      <w:proofErr w:type="spellStart"/>
      <w:r>
        <w:t>Suemy</w:t>
      </w:r>
      <w:proofErr w:type="spellEnd"/>
      <w:r>
        <w:t xml:space="preserve"> del Rosario Ruz Durán.</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Amparo en revisión 15/2007. Instituto del Fondo Nacional de la Vivienda para los Trabajadores. 14 de marzo de 2007. Unanimidad de votos. Ponente: Luis Armando Cortés Escalante. Secretaria: </w:t>
      </w:r>
      <w:proofErr w:type="spellStart"/>
      <w:r>
        <w:t>Suemy</w:t>
      </w:r>
      <w:proofErr w:type="spellEnd"/>
      <w:r>
        <w:t xml:space="preserve"> del Rosario Ruz Durán.</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 xml:space="preserve">Amparo en revisión 426/2007. Instituto del Fondo Nacional de la Vivienda para los Trabajadores. 23 de abril de 2008. Unanimidad de votos. Ponente: Gabriel Alfonso Ayala Quiñones. Secretaria: Gloria del Carmen Bustillos Trejo. </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Nota:</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Esta tesis fue objeto de la denuncia relativa a la contradicción de tesis 331/2014, resuelta por la Primera Sala el 8 de julio de 2015.</w:t>
      </w: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p>
    <w:p w:rsidR="005C7635" w:rsidRDefault="005C7635" w:rsidP="000D2EEA">
      <w:pPr>
        <w:pBdr>
          <w:top w:val="single" w:sz="4" w:space="1" w:color="auto"/>
          <w:left w:val="single" w:sz="4" w:space="1" w:color="auto"/>
          <w:bottom w:val="single" w:sz="4" w:space="1" w:color="auto"/>
          <w:right w:val="single" w:sz="4" w:space="1" w:color="auto"/>
        </w:pBdr>
        <w:spacing w:after="0" w:line="240" w:lineRule="auto"/>
        <w:jc w:val="both"/>
      </w:pPr>
      <w:r>
        <w:t>Por ejecutoria del 8 de julio de 2015, la Primera Sala declaró sin materia la contradicción de tesis 334/2014 derivada de la denuncia de la que fue objeto el criterio contenido en esta tesis.</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Pr="000D2EEA" w:rsidRDefault="000D2EEA" w:rsidP="000D2EEA">
      <w:pPr>
        <w:pBdr>
          <w:top w:val="single" w:sz="4" w:space="1" w:color="auto"/>
          <w:left w:val="single" w:sz="4" w:space="1" w:color="auto"/>
          <w:bottom w:val="single" w:sz="4" w:space="1" w:color="auto"/>
          <w:right w:val="single" w:sz="4" w:space="1" w:color="auto"/>
        </w:pBdr>
        <w:spacing w:after="0" w:line="240" w:lineRule="auto"/>
        <w:jc w:val="center"/>
        <w:rPr>
          <w:b/>
        </w:rPr>
      </w:pPr>
      <w:r w:rsidRPr="000D2EEA">
        <w:rPr>
          <w:b/>
        </w:rPr>
        <w:t>EJECUTORIA DE LA PRESENTE JURISPRUDENCIA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Registro Núm. 21032; Novena Época; Tribunales Colegiados de Circuito; Semanario Judicial de la Federación y su Gaceta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Tomo XXVIII, Julio de 2008, página 1586.</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AMPARO EN REVISIÓN 426/2007. INSTITUTO DEL FONDO NACIONAL DE LA VIVIENDA PARA LOS TRABAJADORES.</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CONSIDERANDO:</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CUARTO.-En principio importa destacar que permanecerá intocada la parte conducente del resolutivo único que se rige por el considerando cuarto de la sentencia recurrida, en el que se negó a la quejosa el amparo solicitado, respecto a los actos atribuidos al Gobernador Constitucional, secretario de Gobierno, Congreso y director del Diario Oficial del Gobierno, todas del Estado de Yucatán, consistentes en la inconstitucionalidad del artículo 1465 del Código Civil del Estado de Yucatán, al no haberse expresado agravios al respecto; por lo que debe quedar firme la sentencia impugnada en esa parte.</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Resulta aplicable al caso la jurisprudencia sustentada por el Pleno de la Suprema Corte de Justicia de la Nación, consultable con el número 251, en la página 427, tomo Común al Pleno y a las Salas, Octava Parte, Quinta Época del Apéndice al Semanario Judicial de la Federación 1917-1985, cuyo texto es:</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"REVISIÓN EN AMPARO.-Comprende sólo los puntos de la sentencia que han sido recurridos, quedando el fallo del Juez de Distrito firme en la parte en que no fue impugnado."</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QUINTO.-En lo que atañe propiamente a la materia de la revisión, específicamente las consideraciones contenidas en el considerando quinto del propio fallo, debe decirse que los </w:t>
      </w:r>
      <w:r>
        <w:lastRenderedPageBreak/>
        <w:t>argumentos que hace valer el Instituto del Fondo Nacional de la Vivienda para los Trabajadores, en su único agravio, ameritan el análisis siguiente.</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A manera de antecedentes, es pertinente señalar que en el expediente de amparo 444/2007-VI, obran los autos del toca 351/2007, que en justificación del acto reclamado remitiera la Sala Segunda del Tribunal Superior de Justicia del Estado de Yucatán, en el que aparecen, en copias certificadas, las constancias del expediente 75/2003, del índice del Juzgado Segundo de lo Civil del Primer Departamento Judicial del Estado de Yucatán, correspondiente al juicio ejecutivo mercantil promovido por Electrónicos y Más, Sociedad Anónima de Capital Variable, por conducto de su </w:t>
      </w:r>
      <w:proofErr w:type="spellStart"/>
      <w:r>
        <w:t>endosataria</w:t>
      </w:r>
      <w:proofErr w:type="spellEnd"/>
      <w:r>
        <w:t xml:space="preserve"> en procuración </w:t>
      </w:r>
      <w:proofErr w:type="spellStart"/>
      <w:r>
        <w:t>Eligia</w:t>
      </w:r>
      <w:proofErr w:type="spellEnd"/>
      <w:r>
        <w:t xml:space="preserve"> Esther Cervantes </w:t>
      </w:r>
      <w:proofErr w:type="spellStart"/>
      <w:r>
        <w:t>Barnet</w:t>
      </w:r>
      <w:proofErr w:type="spellEnd"/>
      <w:r>
        <w:t xml:space="preserve">, en contra de Laureano </w:t>
      </w:r>
      <w:proofErr w:type="spellStart"/>
      <w:r>
        <w:t>Baas</w:t>
      </w:r>
      <w:proofErr w:type="spellEnd"/>
      <w:r>
        <w:t xml:space="preserve"> Dorantes, del que se aprecia: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A) Que mediante resolución de 18 (dieciocho) de agosto del año 2003 (dos mil tres), se dictó sentencia de primera instancia, en la que se declaró procedente la acción intentada y se ordenó el remate de los bienes embargados (fojas 98 a 100).</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B) Que el 2 (dos) de marzo de 2006 (dos mil seis), el Juez del conocimiento dictó auto en el que, entre otras cosas, señaló fecha y hora (3 de mayo de 2006 a las 10:30 horas en el local del Juzgado) para el remate en pública subasta y primera almoneda del predio número ciento cuatro, letra M, de la Calle Diecinueve, de la colonia </w:t>
      </w:r>
      <w:proofErr w:type="spellStart"/>
      <w:r>
        <w:t>Chuburná</w:t>
      </w:r>
      <w:proofErr w:type="spellEnd"/>
      <w:r>
        <w:t xml:space="preserve"> de Hidalgo, de esta ciudad y mandó recabar el certificado de gravámenes respecto a dicho predio, así como a los acreedores que aparecieran en él (foja 131).</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C) Que en el certificado de gravámenes de 28 (veintiocho) de marzo de 2006 (dos mil seis), se reportó el crédito hipotecario a favor del Instituto del Fondo Nacional de la Vivienda para los Trabajadores, por la suma de $154,810.29 (ciento cincuenta y cuatro mil ochocientos diez pesos con veintinueve centavos moneda nacional); el embargo a favor de Miguel A. Alonzo P. y Nelly Lope de A., inscrito a folios 156 del tomo 14-B, volumen II de Urbanas, libro sexto, de 16 (dieciséis) de noviembre de 1999 (mil novecientos noventa y nueve); así como el embargo a favor de Electrónicos y Más, Sociedad Anónima de Capital Variable, por la cantidad de $4,114.64 (cuatro mil ciento catorce pesos, sesenta y cuatro centavos moneda nacional) (foja 136). Certificación que fue acumulada por auto de 31 (treinta y uno) de octubre del propio año (foja 137).</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D) Que en la audiencia de remate, celebrada en la fecha y hora indicada, comparecieron Rolando Apolinar Basora León, María Elena Razo Santiago, José Concepción Martín </w:t>
      </w:r>
      <w:proofErr w:type="spellStart"/>
      <w:r>
        <w:t>Várguez</w:t>
      </w:r>
      <w:proofErr w:type="spellEnd"/>
      <w:r>
        <w:t xml:space="preserve"> y Francisco Carlos Ramos Sosa, </w:t>
      </w:r>
      <w:r w:rsidRPr="0017586F">
        <w:rPr>
          <w:u w:val="single"/>
        </w:rPr>
        <w:t>como postores, sin que hubiera comparecido persona alguna en representación del Instituto del Fondo Nacional de la Vivienda para los Trabajadores como acreedor;</w:t>
      </w:r>
      <w:r>
        <w:t xml:space="preserve"> remate que se aprobó a favor del último de los postores nombrados (fojas 142 a 144).</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E) Que el instituto, hoy quejoso y recurrente, interpuso recurso de apelación contra dicha audiencia de remate a la que recayó la sentencia que constituye el acto reclamado (fojas 146 a 151).</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Ahora bien, en primer lugar, el instituto recurrente aduce que en la sentencia impugnada la </w:t>
      </w:r>
      <w:proofErr w:type="spellStart"/>
      <w:r>
        <w:t>resolutora</w:t>
      </w:r>
      <w:proofErr w:type="spellEnd"/>
      <w:r>
        <w:t xml:space="preserve"> federal violó en su perjuicio lo establecido en el artículo 77 de la Ley de Amparo, al no precisar de manera clara el análisis que realizó de las pruebas y los agravios que hiciera valer.</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Lo expuesto por el inconforme resulta inoperante, pues es omiso en precisar respecto de qué agravio o cuál prueba no se especificó el análisis en la sentencia recurrida.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Al caso, debe citarse la jurisprudencia XXI.3o. J/12, emitida por el entonces Tercer Tribunal Colegiado del Vigésimo Primer Circuito, actualmente Primer Tribunal Colegiado en Materias Penal y Administrativa del Vigésimo Primer Circuito, que se comparte, visible en la página 1222, Tomo XXI, mayo de 2005, Novena Época del Semanario Judicial de la Federación y su Gaceta, que dice:</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"AGRAVIOS EN LA REVISIÓN. SON INOPERANTES POR DEFICIENTES, SI NO PRECISAN EL ALCANCE PROBATORIO DE LAS PRUEBAS CUYA OMISIÓN DE VALORACIÓN SE ALEGA.-Los agravios en revisión, consistentes en la falta de valoración de probanzas ofrecidas en el juicio de amparo, deben expresar no sólo las pruebas que se dejaron de valorar, sino deben también precisar el alcance probatorio de tales probanzas, así como la forma en que éstas trascenderían al fallo en beneficio del quejoso, pues sólo en esta hipótesis puede analizarse si la omisión de valoración de pruebas causó perjuicio al mismo y, en tal virtud, determinar si la sentencia recurrida es ilegal o no; de tal suerte que los agravios expresados que no reúnan los mencionados requisitos, deben estimarse inoperantes por deficientes."</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lastRenderedPageBreak/>
        <w:t>De igual manera, es ilustrativa la jurisprudencia VI.2o.C. J/131, sustentada por el Segundo Tribunal Colegiado en Materia Civil del Sexto Circuito, que también se comparte, visible en la página 379, Tomo XIV, noviembre de 2001, Novena Época del Semanario Judicial de la Federación y su Gaceta, que dice:</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"AGRAVIOS EN LA REVISIÓN. SON INOPERANTES CUANDO SE ALEGA FALTA DE VALORACIÓN DE PRUEBAS, SI SE OMITE PRECISAR SU ALCANCE PROBATORIO.-Cuando en la revisión los agravios se hacen consistir en la falta de valoración de pruebas, debe precisarse su alcance probatorio, ya que sólo en esas condiciones podrá analizarse si las mismas tienen trascendencia en el fallo reclamado, por lo que los agravios que no reúnan esos requisitos devienen inoperantes por su notoria insuficiencia."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Por otra parte, el nombrado recurrente aduce que si bien, como estimó la a quo, el artículo 2325 del Código Civil Federal establece que, por regla general, </w:t>
      </w:r>
      <w:r w:rsidRPr="0017586F">
        <w:rPr>
          <w:u w:val="single"/>
        </w:rPr>
        <w:t>las ventas judiciales se harán en moneda efectiva y pasará el inmueble al comprador libre de todo gravamen, también prevé que tal presupuesto se dará a menos de estipulación expresa en contrario, con lo que se cambia todo el sentido del acto mismo del remate, porque el solo hecho de que el predio a rematar se encuentre sujeto a un gravamen hipotecario y el titular de ese derecho lo haga valer, debe transmitirse la propiedad adjudicada con el gravamen con que cuenta,</w:t>
      </w:r>
      <w:r>
        <w:t xml:space="preserve"> lo que había demostrado con los documentos que el mismo actor del juicio exhibió a fin de tramitar el remate.</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Pr="00321668" w:rsidRDefault="000D2EEA" w:rsidP="000D2EEA">
      <w:pPr>
        <w:pBdr>
          <w:top w:val="single" w:sz="4" w:space="1" w:color="auto"/>
          <w:left w:val="single" w:sz="4" w:space="1" w:color="auto"/>
          <w:bottom w:val="single" w:sz="4" w:space="1" w:color="auto"/>
          <w:right w:val="single" w:sz="4" w:space="1" w:color="auto"/>
        </w:pBdr>
        <w:spacing w:after="0" w:line="240" w:lineRule="auto"/>
        <w:jc w:val="both"/>
        <w:rPr>
          <w:b/>
          <w:u w:val="single"/>
        </w:rPr>
      </w:pPr>
      <w:r>
        <w:t xml:space="preserve">Tal argumento es infundado pues, con independencia de que el recurrente tampoco precisa cuáles son los documentos que el actor exhibió con los que se demuestra su derecho hipotecario, </w:t>
      </w:r>
      <w:r w:rsidRPr="00321668">
        <w:rPr>
          <w:b/>
          <w:u w:val="single"/>
        </w:rPr>
        <w:t>la circunstancia de que exista en autos el certificado de gravámenes en el que aparece que el bien inmueble sujeto a remate se encontraba gravado con la hipoteca a su favor, es insuficiente para considerar que se encuentra en el caso de excepción previsto en el artículo 2325 del Código Civil Federal,</w:t>
      </w:r>
      <w:r>
        <w:t xml:space="preserve"> de aplicación supletoria conforme al artículo 2o. del Código de Comercio, </w:t>
      </w:r>
      <w:r w:rsidRPr="00321668">
        <w:rPr>
          <w:b/>
          <w:u w:val="single"/>
        </w:rPr>
        <w:t xml:space="preserve">en lo relativo a que si la venta judicial se tratare de un inmueble, pasará al comprador libre de todo gravamen "a menos que exista estipulación expresa en contrario", pues en dicho documento en relación con la hipoteca sólo se asentó: "hipoteca a favor del </w:t>
      </w:r>
      <w:proofErr w:type="spellStart"/>
      <w:r w:rsidRPr="00321668">
        <w:rPr>
          <w:b/>
          <w:u w:val="single"/>
        </w:rPr>
        <w:t>Infonavit</w:t>
      </w:r>
      <w:proofErr w:type="spellEnd"/>
      <w:r w:rsidRPr="00321668">
        <w:rPr>
          <w:b/>
          <w:u w:val="single"/>
        </w:rPr>
        <w:t>, por la suma de $154,810.29 M.N., inscrito a folios 89 del tomo 40-C, volumen IV, de Urbanas, libro segundo, de fecha 15 de octubre de 1998" (foja 136), sin que al respecto exista dato o anotación, en donde de manera textual se haga constar la existencia de una estipulación en contrario que permita trasladar al comprador el gravamen de la hipoteca.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De la transcripción anterior se aprecia que no se precisaron los términos de la hipoteca que impidiera el remate del bien embargado, por lo que dicha prueba no demuestra el extremo que se pretende. </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El recurrente continúa su argumento en el sentido de que el Juez Segundo de lo Civil no determinó, en el momento mismo del remate, la forma en que se adquiriría el bien raíz a rematar, ni les especificó a los postores que el mismo contaba con un gravamen hipotecario a su favor, lo que fue avalado por la Sala responsable, sin que la Juez Federal se pronunciara al respecto.</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Este argumento es infundado, pues los conceptos de violación fueron analizados en forma integral y se consideraron infundados, precisamente, al concluir la </w:t>
      </w:r>
      <w:proofErr w:type="spellStart"/>
      <w:r>
        <w:t>resolutora</w:t>
      </w:r>
      <w:proofErr w:type="spellEnd"/>
      <w:r>
        <w:t xml:space="preserve"> federal que la venta judicial de un bien inmueble debía pasar al comprador libre de todo gravamen, fundando y motivando debidamente su resolución.</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Pr="00321668" w:rsidRDefault="000D2EEA" w:rsidP="000D2EEA">
      <w:pPr>
        <w:pBdr>
          <w:top w:val="single" w:sz="4" w:space="1" w:color="auto"/>
          <w:left w:val="single" w:sz="4" w:space="1" w:color="auto"/>
          <w:bottom w:val="single" w:sz="4" w:space="1" w:color="auto"/>
          <w:right w:val="single" w:sz="4" w:space="1" w:color="auto"/>
        </w:pBdr>
        <w:spacing w:after="0" w:line="240" w:lineRule="auto"/>
        <w:jc w:val="both"/>
        <w:rPr>
          <w:b/>
          <w:u w:val="single"/>
        </w:rPr>
      </w:pPr>
      <w:r>
        <w:t>Además, al no haber asistido el recurrente a la audiencia de remate, como prevé el artículo 456 del Código de Procedimientos Civiles del Estado de Yucatán, en la fracción I, a pesar de haber sido notificado (fojas 136 del juicio de garantías), para hacer las observaciones que estimara oportunas para garantizar sus derechos y en la que pudo haber exhibido el contrato de hipoteca, en el que constara</w:t>
      </w:r>
      <w:r w:rsidRPr="00321668">
        <w:rPr>
          <w:b/>
          <w:u w:val="single"/>
        </w:rPr>
        <w:t xml:space="preserve"> alguna estipulación que impidiera liberar el gravamen ante una venta judicial, debía prevalecer la regla general.</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Por tanto, si bien es cierto que como ha sostenido este tribunal en la tesis de rubro: "TERCERÍA EXCLUYENTE DE PREFERENCIA. EL CRÉDITO HIPOTECARIO INSCRITO CON ANTELACIÓN NO NECESARIAMENTE LEGITIMA AL ACREEDOR PARA EXIGIR SU PAGO PREFERENTE (LEGISLACIÓN DEL ESTADO DE YUCATÁN).", conforme al artículo 2894 del Código Civil Federal (similar al 2046 del Código Civil del Estado de Yucatán), </w:t>
      </w:r>
      <w:r w:rsidRPr="00321668">
        <w:rPr>
          <w:b/>
          <w:u w:val="single"/>
        </w:rPr>
        <w:t xml:space="preserve">los bienes hipotecados quedan sujetos al gravamen impuesto aunque pasen a poder de tercero, lo que implica que el derecho correlativo se transmite con el bien hipotecado y puede oponerse a cualquier adquirente sea cual fuere el acto que le dé origen; sin embargo, debe señalarse que tal criterio no es aplicable en el caso específico de la venta </w:t>
      </w:r>
      <w:r w:rsidRPr="00321668">
        <w:rPr>
          <w:b/>
          <w:u w:val="single"/>
        </w:rPr>
        <w:lastRenderedPageBreak/>
        <w:t>judicial, ya que en esta hipótesis existe disposición expresa del artículo 2325 del Código Civil Federal, de que el inmueble vendido judicialmente pasará al comprador libre de gravamen, y del artículo 2941, fracción V, de ese mismo código, de que deberá ordenarse la extinción de la hipoteca cuando se remate judicialmente la finca hipotecada, con lo cual tampoco quedan nugatorios los derechos del acreedor hipotecario en la medida que puede hacerlos valer en la vía y forma que corresponda</w:t>
      </w:r>
      <w:r>
        <w:t>, de donde resultan infundados los agravios que se formulan a ese respecto.</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Por último, el recurrente aduce falta de aplicación a lo que dispone el artículo 77, fracción III, de la Ley de Amparo, porque en el punto resolutivo único de la sentencia recurrida no se estableció con claridad y precisión el acto o actos por los que se niega la protección federal.</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El argumento anterior es infundado, porque en el resolutivo único de la sentencia recurrida, se precisaron los actos reclamados de cada una de las autoridades responsables, pues se asentó a la letra: </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 xml:space="preserve">"ÚNICO.-La Justicia de la Unión no ampara ni protege al Instituto del Fondo Nacional de la Vivienda para los Trabajadores, por conducto de su apoderado Marco Antonio Pérez </w:t>
      </w:r>
      <w:proofErr w:type="spellStart"/>
      <w:r>
        <w:t>Ricalde</w:t>
      </w:r>
      <w:proofErr w:type="spellEnd"/>
      <w:r>
        <w:t>, en contra de los actos que le reclama a las autoridades que señaló como responsables. Notifíquese personalmente." (</w:t>
      </w:r>
      <w:proofErr w:type="gramStart"/>
      <w:r>
        <w:t>foja</w:t>
      </w:r>
      <w:proofErr w:type="gramEnd"/>
      <w:r>
        <w:t xml:space="preserve"> 378).</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Similar criterio sostuvo este tribunal al resolver los amparos en revisión 239/2006, 240/2006, 406/2006 y 15/2007, en sesiones de seis de septiembre, treinta de agosto y trece de diciembre de dos mil seis y catorce de marzo de dos mil siete, respectivamente.</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Por las anotadas consideraciones, lo que procede es confirmar la sentencia recurrida.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Por lo expuesto, fundado y con apoyo en los artículos 83, fracción IV, 85, fracción II, 86, 91 y demás aplicables de la Ley de Amparo, se resuelve:</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PRIMERO.-Se deja intocada y, por ende, firme la parte conducente del resolutivo único de la sentencia recurrida, en relación con las consideraciones contenidas en el considerando cuarto, respecto de los actos atribuidos al gobernador constitucional, secretario de Gobierno, Congreso y director del Diario Oficial del Gobierno, todos del Estado de Yucatán, consistentes en la inconstitucionalidad del artículo 1465 del Código Civil del Estado de Yucatán.</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SEGUNDO.-En la materia de la revisión, se confirma la sentencia recurrida.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TERCERO.-La Justicia de la Unión no ampara ni protege al Instituto del Fondo Nacional de la Vivienda para los Trabajadores, contra los actos y de las autoridades precisadas en el resultando primero de esta ejecutoria.</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Notifíquese como corresponda; anótese; con testimonio de esta resolución devuélvase los autos a su lugar de origen y, en su oportunidad, archívese el toca como asunto concluido.</w:t>
      </w: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p>
    <w:p w:rsidR="000D2EEA" w:rsidRDefault="000D2EEA" w:rsidP="000D2EEA">
      <w:pPr>
        <w:pBdr>
          <w:top w:val="single" w:sz="4" w:space="1" w:color="auto"/>
          <w:left w:val="single" w:sz="4" w:space="1" w:color="auto"/>
          <w:bottom w:val="single" w:sz="4" w:space="1" w:color="auto"/>
          <w:right w:val="single" w:sz="4" w:space="1" w:color="auto"/>
        </w:pBdr>
        <w:spacing w:after="0" w:line="240" w:lineRule="auto"/>
        <w:jc w:val="both"/>
      </w:pPr>
      <w:r>
        <w:t>Así lo resolvió el Tribunal Colegiado en Materias Civil y Administrativa del Décimo Cuarto Circuito, por unanimidad de votos de los ciudadanos Magistrados Gabriel Alfonso Ayala Quiñones como presidente, Elvira Concepción Pasos Magaña y Luis Armando Cortés Escalante, siendo ponente el primero de los nombrados.</w:t>
      </w:r>
    </w:p>
    <w:p w:rsidR="005C7635" w:rsidRDefault="005C7635" w:rsidP="007C0F4F">
      <w:pPr>
        <w:spacing w:after="0" w:line="240" w:lineRule="auto"/>
        <w:jc w:val="both"/>
        <w:rPr>
          <w:rFonts w:ascii="Arial" w:hAnsi="Arial" w:cs="Arial"/>
          <w:sz w:val="24"/>
          <w:szCs w:val="24"/>
        </w:rPr>
      </w:pPr>
    </w:p>
    <w:p w:rsidR="005C7635" w:rsidRDefault="005C7635" w:rsidP="007C0F4F">
      <w:pPr>
        <w:spacing w:after="0" w:line="240" w:lineRule="auto"/>
        <w:jc w:val="both"/>
        <w:rPr>
          <w:rFonts w:ascii="Arial" w:hAnsi="Arial" w:cs="Arial"/>
          <w:sz w:val="24"/>
          <w:szCs w:val="24"/>
        </w:rPr>
      </w:pPr>
    </w:p>
    <w:p w:rsidR="005C7635" w:rsidRDefault="005C7635" w:rsidP="007C0F4F">
      <w:pPr>
        <w:spacing w:after="0" w:line="240" w:lineRule="auto"/>
        <w:jc w:val="both"/>
        <w:rPr>
          <w:rFonts w:ascii="Arial" w:hAnsi="Arial" w:cs="Arial"/>
          <w:sz w:val="24"/>
          <w:szCs w:val="24"/>
        </w:rPr>
      </w:pPr>
      <w:r>
        <w:rPr>
          <w:rFonts w:ascii="Arial" w:hAnsi="Arial" w:cs="Arial"/>
          <w:sz w:val="24"/>
          <w:szCs w:val="24"/>
        </w:rPr>
        <w:tab/>
        <w:t xml:space="preserve">Por otra parte, cabe manifestar a su Usía, que tal y como se acredita con el contrato base de la acción, tanto el INFONAVIT como mi representada, son acreedores hipotecarios sobre el mismo inmueble, </w:t>
      </w:r>
      <w:r w:rsidRPr="005C7635">
        <w:rPr>
          <w:rFonts w:ascii="Arial" w:hAnsi="Arial" w:cs="Arial"/>
          <w:b/>
          <w:sz w:val="24"/>
          <w:szCs w:val="24"/>
        </w:rPr>
        <w:t>siendo ambos acreedores hipotecarios en primer lugar y grado, esto es que existe una igualdad en lugar y grado de prelación</w:t>
      </w:r>
      <w:r>
        <w:rPr>
          <w:rFonts w:ascii="Arial" w:hAnsi="Arial" w:cs="Arial"/>
          <w:sz w:val="24"/>
          <w:szCs w:val="24"/>
        </w:rPr>
        <w:t xml:space="preserve"> y por ende, resulta absurdo que dicho Instituto pretenda que se le pague a el primero, cuando en el caso concreto </w:t>
      </w:r>
      <w:r w:rsidRPr="005C7635">
        <w:rPr>
          <w:rFonts w:ascii="Arial" w:hAnsi="Arial" w:cs="Arial"/>
          <w:b/>
          <w:sz w:val="24"/>
          <w:szCs w:val="24"/>
          <w:u w:val="single"/>
        </w:rPr>
        <w:t xml:space="preserve">NI SIQUIERA ACREDITA QUE SU CRÉDITO SEA EXIGIBLE Y MUCHO MENOS ACREDITA QUE LA HOY DEMANDADA HAYA INCUMPLIDO CON EL CRÉDITO QUE DICHO INSTITUTO LE CONCEDIÓ, ASÍ COMO OMITE ACREDITAR LA SUPUESTA CANTIDAD QUE EN SU CASO ADEUDA LA HOY DEMANDADA, POR LO QUE DE NINGUNA MANERA SE PUEDE CONSIDERAR PAGAR AL INFONAVIT ANTES QUE A MI REPRESENTADA, ya que en el caso concreto, mi representada SI ACREDITA </w:t>
      </w:r>
      <w:r w:rsidRPr="005C7635">
        <w:rPr>
          <w:rFonts w:ascii="Arial" w:hAnsi="Arial" w:cs="Arial"/>
          <w:b/>
          <w:sz w:val="24"/>
          <w:szCs w:val="24"/>
          <w:u w:val="single"/>
        </w:rPr>
        <w:lastRenderedPageBreak/>
        <w:t>DE FORMA FEHACIENTE que el crédito base de la acción, es cierto y exigible, así como se acredita el importe y conceptos adeudados</w:t>
      </w:r>
      <w:r>
        <w:rPr>
          <w:rFonts w:ascii="Arial" w:hAnsi="Arial" w:cs="Arial"/>
          <w:b/>
          <w:sz w:val="24"/>
          <w:szCs w:val="24"/>
          <w:u w:val="single"/>
        </w:rPr>
        <w:t>.</w:t>
      </w:r>
    </w:p>
    <w:p w:rsidR="00C96EA0" w:rsidRDefault="00C96EA0" w:rsidP="007C0F4F">
      <w:pPr>
        <w:spacing w:after="0" w:line="240" w:lineRule="auto"/>
        <w:jc w:val="both"/>
        <w:rPr>
          <w:rFonts w:ascii="Arial" w:hAnsi="Arial" w:cs="Arial"/>
          <w:sz w:val="24"/>
          <w:szCs w:val="24"/>
        </w:rPr>
      </w:pPr>
    </w:p>
    <w:p w:rsidR="00C96EA0" w:rsidRDefault="00C96EA0" w:rsidP="007C0F4F">
      <w:pPr>
        <w:spacing w:after="0" w:line="240" w:lineRule="auto"/>
        <w:jc w:val="both"/>
        <w:rPr>
          <w:rFonts w:ascii="Arial" w:hAnsi="Arial" w:cs="Arial"/>
          <w:sz w:val="24"/>
          <w:szCs w:val="24"/>
        </w:rPr>
      </w:pPr>
    </w:p>
    <w:p w:rsidR="000D2EEA" w:rsidRDefault="000D2EEA" w:rsidP="007C0F4F">
      <w:pPr>
        <w:spacing w:after="0" w:line="240" w:lineRule="auto"/>
        <w:jc w:val="both"/>
        <w:rPr>
          <w:rFonts w:ascii="Arial" w:hAnsi="Arial" w:cs="Arial"/>
          <w:sz w:val="24"/>
          <w:szCs w:val="24"/>
        </w:rPr>
      </w:pPr>
      <w:r>
        <w:rPr>
          <w:rFonts w:ascii="Arial" w:hAnsi="Arial" w:cs="Arial"/>
          <w:sz w:val="24"/>
          <w:szCs w:val="24"/>
        </w:rPr>
        <w:tab/>
        <w:t>Por lo anteriormente expuesto, su Señoría deberá de declarar improcedentes e infundadas las manifestaciones y la solicitud efectuada por el INFONAVIT y en consecuencia, para el caso de que se llegue a rematar y adjudicar el bien inmueble objeto de hipoteca en el presente juicio a favor de un tercero, o de mi representada, el mismo deberá de pasar LIBRE DE TODO GRAVAMEN, DEBIENDO EN CONSECUENCIA, ORDENAR LA CANCELACIÓN DE LAS HIPOTECAS Y GRAVÁMENES QUE TENGA DICHO INMUEBLE, situación que como ya se ha manifestado, en NADA AFECTA LOS DERECHOS DE CRÉDITO Y COBRO DEL INFONAVIT.</w:t>
      </w:r>
    </w:p>
    <w:p w:rsidR="000D2EEA" w:rsidRDefault="000D2EEA" w:rsidP="007C0F4F">
      <w:pPr>
        <w:spacing w:after="0" w:line="240" w:lineRule="auto"/>
        <w:jc w:val="both"/>
        <w:rPr>
          <w:rFonts w:ascii="Arial" w:hAnsi="Arial" w:cs="Arial"/>
          <w:sz w:val="24"/>
          <w:szCs w:val="24"/>
        </w:rPr>
      </w:pPr>
    </w:p>
    <w:p w:rsidR="000D2EEA" w:rsidRDefault="000D2EEA" w:rsidP="007C0F4F">
      <w:pPr>
        <w:spacing w:after="0" w:line="240" w:lineRule="auto"/>
        <w:jc w:val="both"/>
        <w:rPr>
          <w:rFonts w:ascii="Arial" w:hAnsi="Arial" w:cs="Arial"/>
          <w:sz w:val="24"/>
          <w:szCs w:val="24"/>
        </w:rPr>
      </w:pPr>
    </w:p>
    <w:p w:rsidR="000D2EEA" w:rsidRDefault="000D2EEA" w:rsidP="007C0F4F">
      <w:pPr>
        <w:spacing w:after="0" w:line="240" w:lineRule="auto"/>
        <w:jc w:val="both"/>
        <w:rPr>
          <w:rFonts w:ascii="Arial" w:hAnsi="Arial" w:cs="Arial"/>
          <w:sz w:val="24"/>
          <w:szCs w:val="24"/>
        </w:rPr>
      </w:pPr>
      <w:r>
        <w:rPr>
          <w:rFonts w:ascii="Arial" w:hAnsi="Arial" w:cs="Arial"/>
          <w:sz w:val="24"/>
          <w:szCs w:val="24"/>
        </w:rPr>
        <w:tab/>
        <w:t xml:space="preserve">Por lo anteriormente </w:t>
      </w:r>
      <w:r w:rsidR="006579C7">
        <w:rPr>
          <w:rFonts w:ascii="Arial" w:hAnsi="Arial" w:cs="Arial"/>
          <w:sz w:val="24"/>
          <w:szCs w:val="24"/>
        </w:rPr>
        <w:t>expuesto y fundado,</w:t>
      </w:r>
    </w:p>
    <w:p w:rsidR="006579C7" w:rsidRDefault="006579C7" w:rsidP="007C0F4F">
      <w:pPr>
        <w:spacing w:after="0" w:line="240" w:lineRule="auto"/>
        <w:jc w:val="both"/>
        <w:rPr>
          <w:rFonts w:ascii="Arial" w:hAnsi="Arial" w:cs="Arial"/>
          <w:sz w:val="24"/>
          <w:szCs w:val="24"/>
        </w:rPr>
      </w:pPr>
      <w:r w:rsidRPr="006579C7">
        <w:rPr>
          <w:rFonts w:ascii="Arial" w:hAnsi="Arial" w:cs="Arial"/>
          <w:b/>
          <w:sz w:val="24"/>
          <w:szCs w:val="24"/>
        </w:rPr>
        <w:t>A USTED C. JUEZ</w:t>
      </w:r>
      <w:r>
        <w:rPr>
          <w:rFonts w:ascii="Arial" w:hAnsi="Arial" w:cs="Arial"/>
          <w:sz w:val="24"/>
          <w:szCs w:val="24"/>
        </w:rPr>
        <w:t>, atentamente solicito se sirva:</w:t>
      </w:r>
    </w:p>
    <w:p w:rsidR="006579C7" w:rsidRDefault="006579C7" w:rsidP="007C0F4F">
      <w:pPr>
        <w:spacing w:after="0" w:line="240" w:lineRule="auto"/>
        <w:jc w:val="both"/>
        <w:rPr>
          <w:rFonts w:ascii="Arial" w:hAnsi="Arial" w:cs="Arial"/>
          <w:sz w:val="24"/>
          <w:szCs w:val="24"/>
        </w:rPr>
      </w:pPr>
    </w:p>
    <w:p w:rsidR="006579C7" w:rsidRPr="006579C7" w:rsidRDefault="006579C7" w:rsidP="007C0F4F">
      <w:pPr>
        <w:spacing w:after="0" w:line="240" w:lineRule="auto"/>
        <w:jc w:val="both"/>
        <w:rPr>
          <w:rFonts w:ascii="Arial" w:hAnsi="Arial" w:cs="Arial"/>
          <w:b/>
          <w:sz w:val="24"/>
          <w:szCs w:val="24"/>
        </w:rPr>
      </w:pPr>
    </w:p>
    <w:p w:rsidR="006579C7" w:rsidRDefault="006579C7" w:rsidP="007C0F4F">
      <w:pPr>
        <w:spacing w:after="0" w:line="240" w:lineRule="auto"/>
        <w:jc w:val="both"/>
        <w:rPr>
          <w:rFonts w:ascii="Arial" w:hAnsi="Arial" w:cs="Arial"/>
          <w:sz w:val="24"/>
          <w:szCs w:val="24"/>
        </w:rPr>
      </w:pPr>
      <w:r w:rsidRPr="006579C7">
        <w:rPr>
          <w:rFonts w:ascii="Arial" w:hAnsi="Arial" w:cs="Arial"/>
          <w:b/>
          <w:sz w:val="24"/>
          <w:szCs w:val="24"/>
        </w:rPr>
        <w:tab/>
        <w:t>ÚNICO.-</w:t>
      </w:r>
      <w:r>
        <w:rPr>
          <w:rFonts w:ascii="Arial" w:hAnsi="Arial" w:cs="Arial"/>
          <w:sz w:val="24"/>
          <w:szCs w:val="24"/>
        </w:rPr>
        <w:t xml:space="preserve"> Tenerme por presentado con las manifestaciones vertidas en el cuerpo del presente libelo, acordando de conformidad lo solicitado.</w:t>
      </w:r>
    </w:p>
    <w:p w:rsidR="007C0F4F" w:rsidRDefault="007C0F4F" w:rsidP="00870E24">
      <w:pPr>
        <w:spacing w:after="0" w:line="240" w:lineRule="auto"/>
        <w:jc w:val="center"/>
        <w:rPr>
          <w:rFonts w:ascii="Arial" w:hAnsi="Arial" w:cs="Arial"/>
          <w:b/>
          <w:sz w:val="24"/>
          <w:szCs w:val="24"/>
        </w:rPr>
      </w:pPr>
    </w:p>
    <w:p w:rsidR="006579C7" w:rsidRDefault="006579C7" w:rsidP="00870E24">
      <w:pPr>
        <w:spacing w:after="0" w:line="240" w:lineRule="auto"/>
        <w:jc w:val="center"/>
        <w:rPr>
          <w:rFonts w:ascii="Arial" w:hAnsi="Arial" w:cs="Arial"/>
          <w:b/>
          <w:sz w:val="24"/>
          <w:szCs w:val="24"/>
        </w:rPr>
      </w:pPr>
    </w:p>
    <w:p w:rsidR="006579C7" w:rsidRPr="00870E24" w:rsidRDefault="006579C7" w:rsidP="006579C7">
      <w:pPr>
        <w:spacing w:after="0" w:line="240" w:lineRule="auto"/>
        <w:jc w:val="center"/>
        <w:rPr>
          <w:rFonts w:ascii="Arial" w:hAnsi="Arial" w:cs="Arial"/>
          <w:b/>
          <w:sz w:val="24"/>
          <w:szCs w:val="24"/>
        </w:rPr>
      </w:pPr>
      <w:r w:rsidRPr="00870E24">
        <w:rPr>
          <w:rFonts w:ascii="Arial" w:hAnsi="Arial" w:cs="Arial"/>
          <w:b/>
          <w:sz w:val="24"/>
          <w:szCs w:val="24"/>
        </w:rPr>
        <w:t>RESPETUOSAMENTE</w:t>
      </w:r>
    </w:p>
    <w:p w:rsidR="006579C7" w:rsidRDefault="006579C7" w:rsidP="006579C7">
      <w:pPr>
        <w:spacing w:after="0" w:line="240" w:lineRule="auto"/>
        <w:jc w:val="center"/>
        <w:rPr>
          <w:rFonts w:ascii="Arial" w:hAnsi="Arial" w:cs="Arial"/>
          <w:b/>
          <w:sz w:val="24"/>
          <w:szCs w:val="24"/>
        </w:rPr>
      </w:pPr>
    </w:p>
    <w:p w:rsidR="006579C7" w:rsidRDefault="006579C7" w:rsidP="006579C7">
      <w:pPr>
        <w:spacing w:after="0" w:line="240" w:lineRule="auto"/>
        <w:jc w:val="center"/>
        <w:rPr>
          <w:rFonts w:ascii="Arial" w:hAnsi="Arial" w:cs="Arial"/>
          <w:b/>
          <w:sz w:val="24"/>
          <w:szCs w:val="24"/>
        </w:rPr>
      </w:pPr>
    </w:p>
    <w:p w:rsidR="006579C7" w:rsidRPr="00870E24" w:rsidRDefault="006579C7" w:rsidP="006579C7">
      <w:pPr>
        <w:spacing w:after="0" w:line="240" w:lineRule="auto"/>
        <w:jc w:val="center"/>
        <w:rPr>
          <w:rFonts w:ascii="Arial" w:hAnsi="Arial" w:cs="Arial"/>
          <w:b/>
          <w:sz w:val="24"/>
          <w:szCs w:val="24"/>
        </w:rPr>
      </w:pPr>
    </w:p>
    <w:p w:rsidR="006579C7" w:rsidRPr="00870E24" w:rsidRDefault="006579C7" w:rsidP="006579C7">
      <w:pPr>
        <w:spacing w:after="0" w:line="240" w:lineRule="auto"/>
        <w:jc w:val="center"/>
        <w:rPr>
          <w:rFonts w:ascii="Arial" w:hAnsi="Arial" w:cs="Arial"/>
          <w:b/>
          <w:sz w:val="24"/>
          <w:szCs w:val="24"/>
        </w:rPr>
      </w:pPr>
    </w:p>
    <w:p w:rsidR="006579C7" w:rsidRPr="00870E24" w:rsidRDefault="006579C7" w:rsidP="006579C7">
      <w:pPr>
        <w:spacing w:after="0" w:line="240" w:lineRule="auto"/>
        <w:jc w:val="center"/>
        <w:rPr>
          <w:rFonts w:ascii="Arial" w:hAnsi="Arial" w:cs="Arial"/>
          <w:b/>
          <w:sz w:val="24"/>
          <w:szCs w:val="24"/>
        </w:rPr>
      </w:pPr>
      <w:r w:rsidRPr="00870E24">
        <w:rPr>
          <w:rFonts w:ascii="Arial" w:hAnsi="Arial" w:cs="Arial"/>
          <w:b/>
          <w:sz w:val="24"/>
          <w:szCs w:val="24"/>
        </w:rPr>
        <w:t>JOSÉ FERNANDO BETANCOURT CERVERA</w:t>
      </w:r>
      <w:bookmarkStart w:id="0" w:name="_GoBack"/>
      <w:bookmarkEnd w:id="0"/>
    </w:p>
    <w:p w:rsidR="006579C7" w:rsidRDefault="006579C7" w:rsidP="006579C7">
      <w:pPr>
        <w:spacing w:after="0" w:line="240" w:lineRule="auto"/>
        <w:jc w:val="center"/>
        <w:rPr>
          <w:rFonts w:ascii="Arial" w:hAnsi="Arial" w:cs="Arial"/>
          <w:b/>
          <w:sz w:val="24"/>
          <w:szCs w:val="24"/>
        </w:rPr>
      </w:pPr>
      <w:r>
        <w:rPr>
          <w:rFonts w:ascii="Arial" w:hAnsi="Arial" w:cs="Arial"/>
          <w:b/>
          <w:sz w:val="24"/>
          <w:szCs w:val="24"/>
        </w:rPr>
        <w:t>México, Distrito Federal a 3 de Agosto de 2015.</w:t>
      </w:r>
    </w:p>
    <w:p w:rsidR="006579C7" w:rsidRPr="00870E24" w:rsidRDefault="006579C7" w:rsidP="00870E24">
      <w:pPr>
        <w:spacing w:after="0" w:line="240" w:lineRule="auto"/>
        <w:jc w:val="center"/>
        <w:rPr>
          <w:rFonts w:ascii="Arial" w:hAnsi="Arial" w:cs="Arial"/>
          <w:b/>
          <w:sz w:val="24"/>
          <w:szCs w:val="24"/>
        </w:rPr>
      </w:pPr>
    </w:p>
    <w:sectPr w:rsidR="006579C7" w:rsidRPr="00870E24" w:rsidSect="00870E24">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E24"/>
    <w:rsid w:val="000D2EEA"/>
    <w:rsid w:val="0015417C"/>
    <w:rsid w:val="005C7635"/>
    <w:rsid w:val="006579C7"/>
    <w:rsid w:val="007C0F4F"/>
    <w:rsid w:val="00870E24"/>
    <w:rsid w:val="00A21122"/>
    <w:rsid w:val="00C96EA0"/>
    <w:rsid w:val="00E117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7EF42-D860-4EA1-AF6B-D844AB7A2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70E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0E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8</Pages>
  <Words>3960</Words>
  <Characters>21784</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2</cp:revision>
  <cp:lastPrinted>2015-07-30T00:18:00Z</cp:lastPrinted>
  <dcterms:created xsi:type="dcterms:W3CDTF">2015-06-10T22:37:00Z</dcterms:created>
  <dcterms:modified xsi:type="dcterms:W3CDTF">2015-07-30T01:39:00Z</dcterms:modified>
</cp:coreProperties>
</file>